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2" w:type="dxa"/>
        <w:jc w:val="center"/>
        <w:tblLook w:val="04A0" w:firstRow="1" w:lastRow="0" w:firstColumn="1" w:lastColumn="0" w:noHBand="0" w:noVBand="1"/>
      </w:tblPr>
      <w:tblGrid>
        <w:gridCol w:w="3424"/>
        <w:gridCol w:w="2837"/>
        <w:gridCol w:w="3951"/>
      </w:tblGrid>
      <w:tr w:rsidR="00EE0D49" w:rsidRPr="005871D2" w14:paraId="58D2B260" w14:textId="77777777" w:rsidTr="00B936CD">
        <w:trPr>
          <w:jc w:val="center"/>
        </w:trPr>
        <w:tc>
          <w:tcPr>
            <w:tcW w:w="3424" w:type="dxa"/>
            <w:shd w:val="clear" w:color="auto" w:fill="00616E"/>
          </w:tcPr>
          <w:p w14:paraId="6E5C058C" w14:textId="24E3867A" w:rsidR="00DE6332" w:rsidRPr="005871D2" w:rsidRDefault="0075362D" w:rsidP="009E193E">
            <w:pPr>
              <w:spacing w:after="0" w:line="240" w:lineRule="auto"/>
              <w:rPr>
                <w:rFonts w:ascii="Calibri Light" w:hAnsi="Calibri Light" w:cs="Calibri Light"/>
              </w:rPr>
            </w:pPr>
            <w:r>
              <w:rPr>
                <w:rFonts w:ascii="Calibri Light" w:hAnsi="Calibri Light" w:cs="Calibri Light"/>
                <w:noProof/>
              </w:rPr>
              <w:drawing>
                <wp:anchor distT="0" distB="0" distL="114300" distR="114300" simplePos="0" relativeHeight="251660288" behindDoc="0" locked="0" layoutInCell="1" allowOverlap="1" wp14:anchorId="6782F5EE" wp14:editId="750038CC">
                  <wp:simplePos x="0" y="0"/>
                  <wp:positionH relativeFrom="column">
                    <wp:posOffset>469900</wp:posOffset>
                  </wp:positionH>
                  <wp:positionV relativeFrom="paragraph">
                    <wp:posOffset>26035</wp:posOffset>
                  </wp:positionV>
                  <wp:extent cx="1047750" cy="819150"/>
                  <wp:effectExtent l="0" t="0" r="0" b="0"/>
                  <wp:wrapNone/>
                  <wp:docPr id="1" name="Image 1" descr="Z:\CLIENTS\LYON FOR EVENTS\Document client\Logo\GL-EVENTS_LFE_New-Logo_3Lignes_30x30cm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CLIENTS\LYON FOR EVENTS\Document client\Logo\GL-EVENTS_LFE_New-Logo_3Lignes_30x30cm_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t="10146" b="11594"/>
                          <a:stretch>
                            <a:fillRect/>
                          </a:stretch>
                        </pic:blipFill>
                        <pic:spPr bwMode="auto">
                          <a:xfrm>
                            <a:off x="0" y="0"/>
                            <a:ext cx="1047750" cy="819150"/>
                          </a:xfrm>
                          <a:prstGeom prst="rect">
                            <a:avLst/>
                          </a:prstGeom>
                          <a:noFill/>
                          <a:ln>
                            <a:noFill/>
                          </a:ln>
                        </pic:spPr>
                      </pic:pic>
                    </a:graphicData>
                  </a:graphic>
                </wp:anchor>
              </w:drawing>
            </w:r>
            <w:r>
              <w:rPr>
                <w:rFonts w:ascii="Calibri Light" w:hAnsi="Calibri Light" w:cs="Calibri Light"/>
                <w:noProof/>
              </w:rPr>
              <w:drawing>
                <wp:anchor distT="0" distB="0" distL="114300" distR="114300" simplePos="0" relativeHeight="251659264" behindDoc="0" locked="0" layoutInCell="1" allowOverlap="1" wp14:anchorId="1B035149" wp14:editId="027A45EC">
                  <wp:simplePos x="0" y="0"/>
                  <wp:positionH relativeFrom="column">
                    <wp:posOffset>22225</wp:posOffset>
                  </wp:positionH>
                  <wp:positionV relativeFrom="paragraph">
                    <wp:posOffset>54610</wp:posOffset>
                  </wp:positionV>
                  <wp:extent cx="427990" cy="438785"/>
                  <wp:effectExtent l="0" t="0" r="0" b="0"/>
                  <wp:wrapNone/>
                  <wp:docPr id="2" name="Image 2" descr="Z:\CLIENTS\LYON FOR EVENTS\Document client\Logo\logo-gl-events-e1427398096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Z:\CLIENTS\LYON FOR EVENTS\Document client\Logo\logo-gl-events-e1427398096892.png"/>
                          <pic:cNvPicPr>
                            <a:picLocks noChangeAspect="1" noChangeArrowheads="1"/>
                          </pic:cNvPicPr>
                        </pic:nvPicPr>
                        <pic:blipFill>
                          <a:blip r:embed="rId9" cstate="print">
                            <a:extLst>
                              <a:ext uri="{28A0092B-C50C-407E-A947-70E740481C1C}">
                                <a14:useLocalDpi xmlns:a14="http://schemas.microsoft.com/office/drawing/2010/main" val="0"/>
                              </a:ext>
                            </a:extLst>
                          </a:blip>
                          <a:srcRect t="13889"/>
                          <a:stretch>
                            <a:fillRect/>
                          </a:stretch>
                        </pic:blipFill>
                        <pic:spPr bwMode="auto">
                          <a:xfrm>
                            <a:off x="0" y="0"/>
                            <a:ext cx="42799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7" w:type="dxa"/>
            <w:shd w:val="clear" w:color="auto" w:fill="00616E"/>
            <w:vAlign w:val="bottom"/>
          </w:tcPr>
          <w:p w14:paraId="5B4DBE80" w14:textId="14CB4728" w:rsidR="00DE6332" w:rsidRPr="005871D2" w:rsidRDefault="00DE6332" w:rsidP="009E193E">
            <w:pPr>
              <w:spacing w:after="0" w:line="240" w:lineRule="auto"/>
              <w:rPr>
                <w:rFonts w:ascii="Calibri Light" w:hAnsi="Calibri Light" w:cs="Calibri Light"/>
              </w:rPr>
            </w:pPr>
          </w:p>
          <w:p w14:paraId="32C4BDB8" w14:textId="77777777" w:rsidR="00DE6332" w:rsidRPr="005871D2" w:rsidRDefault="00DE6332" w:rsidP="009E193E">
            <w:pPr>
              <w:spacing w:after="0" w:line="240" w:lineRule="auto"/>
              <w:rPr>
                <w:rFonts w:ascii="Calibri Light" w:hAnsi="Calibri Light" w:cs="Calibri Light"/>
              </w:rPr>
            </w:pPr>
          </w:p>
          <w:p w14:paraId="13F20CDD" w14:textId="77777777" w:rsidR="0075362D" w:rsidRPr="005871D2" w:rsidRDefault="0075362D" w:rsidP="009E193E">
            <w:pPr>
              <w:spacing w:after="0" w:line="240" w:lineRule="auto"/>
              <w:rPr>
                <w:rFonts w:ascii="Calibri Light" w:hAnsi="Calibri Light" w:cs="Calibri Light"/>
              </w:rPr>
            </w:pPr>
          </w:p>
          <w:p w14:paraId="1799E511" w14:textId="77777777" w:rsidR="0075362D" w:rsidRPr="005871D2" w:rsidRDefault="0075362D" w:rsidP="009E193E">
            <w:pPr>
              <w:spacing w:after="0" w:line="240" w:lineRule="auto"/>
              <w:rPr>
                <w:rFonts w:ascii="Calibri Light" w:hAnsi="Calibri Light" w:cs="Calibri Light"/>
              </w:rPr>
            </w:pPr>
          </w:p>
          <w:p w14:paraId="50920B0B" w14:textId="47E42CDD" w:rsidR="0075362D" w:rsidRPr="005871D2" w:rsidRDefault="0075362D" w:rsidP="009E193E">
            <w:pPr>
              <w:spacing w:after="0" w:line="240" w:lineRule="auto"/>
              <w:rPr>
                <w:rFonts w:ascii="Calibri Light" w:hAnsi="Calibri Light" w:cs="Calibri Light"/>
              </w:rPr>
            </w:pPr>
          </w:p>
        </w:tc>
        <w:tc>
          <w:tcPr>
            <w:tcW w:w="3951" w:type="dxa"/>
            <w:shd w:val="clear" w:color="auto" w:fill="00616E"/>
            <w:vAlign w:val="bottom"/>
          </w:tcPr>
          <w:p w14:paraId="0DBE76F9" w14:textId="77777777" w:rsidR="00DE6332" w:rsidRPr="005871D2" w:rsidRDefault="00DE6332" w:rsidP="009E193E">
            <w:pPr>
              <w:spacing w:after="0" w:line="240" w:lineRule="auto"/>
              <w:jc w:val="right"/>
              <w:rPr>
                <w:rFonts w:ascii="Calibri Light" w:hAnsi="Calibri Light" w:cs="Calibri Light"/>
                <w:b/>
                <w:bCs/>
                <w:color w:val="FFFFFF"/>
                <w:sz w:val="28"/>
                <w:szCs w:val="21"/>
              </w:rPr>
            </w:pPr>
            <w:r>
              <w:rPr>
                <w:rFonts w:ascii="Calibri Light" w:hAnsi="Calibri Light"/>
                <w:b/>
                <w:color w:val="FFFFFF"/>
                <w:sz w:val="28"/>
              </w:rPr>
              <w:t>PRESS RELEASE</w:t>
            </w:r>
          </w:p>
          <w:p w14:paraId="7103A639" w14:textId="0B421C52" w:rsidR="00DE6332" w:rsidRPr="005871D2" w:rsidRDefault="00043A84" w:rsidP="009E193E">
            <w:pPr>
              <w:spacing w:after="0" w:line="240" w:lineRule="auto"/>
              <w:jc w:val="right"/>
              <w:rPr>
                <w:rFonts w:ascii="Calibri Light" w:hAnsi="Calibri Light" w:cs="Calibri Light"/>
                <w:bCs/>
                <w:color w:val="FFFFFF"/>
                <w:szCs w:val="21"/>
              </w:rPr>
            </w:pPr>
            <w:r>
              <w:rPr>
                <w:rFonts w:ascii="Calibri Light" w:hAnsi="Calibri Light"/>
                <w:color w:val="FFFFFF"/>
              </w:rPr>
              <w:t xml:space="preserve">Lyon, France – </w:t>
            </w:r>
            <w:r w:rsidR="00490C9B">
              <w:rPr>
                <w:rFonts w:ascii="Calibri Light" w:hAnsi="Calibri Light"/>
                <w:color w:val="FFFFFF"/>
              </w:rPr>
              <w:t>June</w:t>
            </w:r>
            <w:r w:rsidR="00AA3896">
              <w:rPr>
                <w:rFonts w:ascii="Calibri Light" w:hAnsi="Calibri Light"/>
                <w:color w:val="FFFFFF"/>
              </w:rPr>
              <w:t>7</w:t>
            </w:r>
            <w:bookmarkStart w:id="0" w:name="_GoBack"/>
            <w:bookmarkEnd w:id="0"/>
            <w:r>
              <w:rPr>
                <w:rFonts w:ascii="Calibri Light" w:hAnsi="Calibri Light"/>
                <w:color w:val="FFFFFF"/>
              </w:rPr>
              <w:t>, 2019</w:t>
            </w:r>
          </w:p>
          <w:p w14:paraId="5EE6D6FE" w14:textId="4ADBE597" w:rsidR="009D1714" w:rsidRPr="005871D2" w:rsidRDefault="009D1714" w:rsidP="009E193E">
            <w:pPr>
              <w:spacing w:after="0" w:line="240" w:lineRule="auto"/>
              <w:jc w:val="right"/>
              <w:rPr>
                <w:rFonts w:ascii="Calibri Light" w:hAnsi="Calibri Light" w:cs="Calibri Light"/>
                <w:bCs/>
                <w:color w:val="FFFFFF"/>
                <w:sz w:val="28"/>
                <w:szCs w:val="21"/>
              </w:rPr>
            </w:pPr>
          </w:p>
        </w:tc>
      </w:tr>
      <w:tr w:rsidR="00DE6332" w:rsidRPr="005871D2" w14:paraId="567B49C4" w14:textId="77777777" w:rsidTr="00B936CD">
        <w:trPr>
          <w:trHeight w:val="1706"/>
          <w:jc w:val="center"/>
        </w:trPr>
        <w:tc>
          <w:tcPr>
            <w:tcW w:w="10212" w:type="dxa"/>
            <w:gridSpan w:val="3"/>
            <w:shd w:val="clear" w:color="auto" w:fill="auto"/>
          </w:tcPr>
          <w:p w14:paraId="2612007E" w14:textId="77777777" w:rsidR="00DE6332" w:rsidRPr="005871D2" w:rsidRDefault="00DE6332" w:rsidP="009E193E">
            <w:pPr>
              <w:spacing w:after="0" w:line="240" w:lineRule="auto"/>
              <w:rPr>
                <w:rFonts w:ascii="Calibri Light" w:hAnsi="Calibri Light" w:cs="Calibri Light"/>
                <w:sz w:val="16"/>
              </w:rPr>
            </w:pPr>
          </w:p>
          <w:p w14:paraId="1BA99FAB" w14:textId="52EF17E6" w:rsidR="00A9759A" w:rsidRPr="005871D2" w:rsidRDefault="00A9759A" w:rsidP="009E193E">
            <w:pPr>
              <w:spacing w:after="0" w:line="240" w:lineRule="auto"/>
              <w:jc w:val="center"/>
              <w:rPr>
                <w:rFonts w:ascii="Calibri Light" w:hAnsi="Calibri Light" w:cs="Calibri Light"/>
                <w:b/>
                <w:color w:val="D60000"/>
                <w:sz w:val="32"/>
              </w:rPr>
            </w:pPr>
          </w:p>
          <w:p w14:paraId="555F17F2" w14:textId="77777777" w:rsidR="001D16F3" w:rsidRPr="005871D2" w:rsidRDefault="001D16F3" w:rsidP="009E193E">
            <w:pPr>
              <w:spacing w:after="0" w:line="240" w:lineRule="auto"/>
              <w:jc w:val="center"/>
              <w:rPr>
                <w:rFonts w:ascii="Calibri Light" w:hAnsi="Calibri Light" w:cs="Calibri Light"/>
                <w:b/>
                <w:color w:val="000000"/>
                <w:sz w:val="32"/>
              </w:rPr>
            </w:pPr>
            <w:r>
              <w:rPr>
                <w:rFonts w:ascii="Calibri Light" w:hAnsi="Calibri Light"/>
                <w:b/>
                <w:color w:val="000000"/>
                <w:sz w:val="32"/>
              </w:rPr>
              <w:t>17% growth in 2018 and a positive outlook</w:t>
            </w:r>
          </w:p>
          <w:p w14:paraId="3C267AED" w14:textId="70EBAEA6" w:rsidR="00DE6332" w:rsidRPr="005871D2" w:rsidRDefault="001D16F3" w:rsidP="009E193E">
            <w:pPr>
              <w:spacing w:after="0" w:line="240" w:lineRule="auto"/>
              <w:jc w:val="center"/>
              <w:rPr>
                <w:rFonts w:ascii="Calibri Light" w:hAnsi="Calibri Light" w:cs="Calibri Light"/>
                <w:b/>
                <w:color w:val="000000"/>
                <w:sz w:val="32"/>
              </w:rPr>
            </w:pPr>
            <w:r>
              <w:rPr>
                <w:rFonts w:ascii="Calibri Light" w:hAnsi="Calibri Light"/>
                <w:b/>
                <w:color w:val="000000"/>
                <w:sz w:val="32"/>
              </w:rPr>
              <w:t xml:space="preserve">for the </w:t>
            </w:r>
            <w:r w:rsidR="00F22AE6">
              <w:rPr>
                <w:rFonts w:ascii="Calibri Light" w:hAnsi="Calibri Light"/>
                <w:b/>
                <w:color w:val="000000"/>
                <w:sz w:val="32"/>
              </w:rPr>
              <w:t>four</w:t>
            </w:r>
            <w:r>
              <w:rPr>
                <w:rFonts w:ascii="Calibri Light" w:hAnsi="Calibri Light"/>
                <w:b/>
                <w:color w:val="000000"/>
                <w:sz w:val="32"/>
              </w:rPr>
              <w:t xml:space="preserve"> GL </w:t>
            </w:r>
            <w:r w:rsidR="00490C9B">
              <w:rPr>
                <w:rFonts w:ascii="Calibri Light" w:hAnsi="Calibri Light"/>
                <w:b/>
                <w:color w:val="000000"/>
                <w:sz w:val="32"/>
              </w:rPr>
              <w:t>e</w:t>
            </w:r>
            <w:r>
              <w:rPr>
                <w:rFonts w:ascii="Calibri Light" w:hAnsi="Calibri Light"/>
                <w:b/>
                <w:color w:val="000000"/>
                <w:sz w:val="32"/>
              </w:rPr>
              <w:t xml:space="preserve">vents group </w:t>
            </w:r>
            <w:r w:rsidR="00490C9B">
              <w:rPr>
                <w:rFonts w:ascii="Calibri Light" w:hAnsi="Calibri Light"/>
                <w:b/>
                <w:color w:val="000000"/>
                <w:sz w:val="32"/>
              </w:rPr>
              <w:t>venues</w:t>
            </w:r>
            <w:r>
              <w:rPr>
                <w:rFonts w:ascii="Calibri Light" w:hAnsi="Calibri Light"/>
                <w:b/>
                <w:color w:val="000000"/>
                <w:sz w:val="32"/>
              </w:rPr>
              <w:t xml:space="preserve"> in Lyon</w:t>
            </w:r>
          </w:p>
          <w:p w14:paraId="2B46B209" w14:textId="77777777" w:rsidR="00484239" w:rsidRPr="005871D2" w:rsidRDefault="00484239" w:rsidP="009E193E">
            <w:pPr>
              <w:spacing w:after="0" w:line="240" w:lineRule="auto"/>
              <w:rPr>
                <w:rFonts w:ascii="Calibri Light" w:hAnsi="Calibri Light" w:cs="Calibri Light"/>
              </w:rPr>
            </w:pPr>
          </w:p>
          <w:p w14:paraId="5228D83D" w14:textId="2FDE0DC5" w:rsidR="005901EA" w:rsidRPr="005871D2" w:rsidRDefault="002136E4" w:rsidP="009E193E">
            <w:pPr>
              <w:spacing w:after="0" w:line="240" w:lineRule="auto"/>
              <w:jc w:val="both"/>
              <w:rPr>
                <w:rFonts w:ascii="Calibri Light" w:hAnsi="Calibri Light" w:cs="Calibri Light"/>
                <w:b/>
                <w:szCs w:val="20"/>
              </w:rPr>
            </w:pPr>
            <w:r>
              <w:rPr>
                <w:rFonts w:ascii="Calibri Light" w:hAnsi="Calibri Light"/>
                <w:b/>
              </w:rPr>
              <w:t xml:space="preserve">The </w:t>
            </w:r>
            <w:hyperlink r:id="rId10">
              <w:r>
                <w:rPr>
                  <w:rStyle w:val="Lienhypertexte"/>
                  <w:rFonts w:ascii="Calibri Light" w:hAnsi="Calibri Light"/>
                  <w:b/>
                  <w:color w:val="auto"/>
                </w:rPr>
                <w:t>GL events</w:t>
              </w:r>
            </w:hyperlink>
            <w:r>
              <w:rPr>
                <w:rFonts w:ascii="Calibri Light" w:hAnsi="Calibri Light"/>
                <w:b/>
              </w:rPr>
              <w:t xml:space="preserve"> group</w:t>
            </w:r>
            <w:r w:rsidR="00F22AE6">
              <w:rPr>
                <w:rFonts w:ascii="Calibri Light" w:hAnsi="Calibri Light"/>
                <w:b/>
              </w:rPr>
              <w:t>’</w:t>
            </w:r>
            <w:r>
              <w:rPr>
                <w:rFonts w:ascii="Calibri Light" w:hAnsi="Calibri Light"/>
                <w:b/>
              </w:rPr>
              <w:t xml:space="preserve">s four event </w:t>
            </w:r>
            <w:r w:rsidR="00490C9B">
              <w:rPr>
                <w:rFonts w:ascii="Calibri Light" w:hAnsi="Calibri Light"/>
                <w:b/>
              </w:rPr>
              <w:t>venues</w:t>
            </w:r>
            <w:r>
              <w:rPr>
                <w:rFonts w:ascii="Calibri Light" w:hAnsi="Calibri Light"/>
                <w:b/>
              </w:rPr>
              <w:t xml:space="preserve"> in Lyon, united under the </w:t>
            </w:r>
            <w:hyperlink r:id="rId11">
              <w:r>
                <w:rPr>
                  <w:rStyle w:val="Lienhypertexte"/>
                  <w:rFonts w:ascii="Calibri Light" w:hAnsi="Calibri Light"/>
                  <w:b/>
                  <w:color w:val="auto"/>
                </w:rPr>
                <w:t>Lyon for events</w:t>
              </w:r>
            </w:hyperlink>
            <w:r>
              <w:rPr>
                <w:rFonts w:ascii="Calibri Light" w:hAnsi="Calibri Light"/>
                <w:b/>
              </w:rPr>
              <w:t xml:space="preserve"> banner (Lyon Convention Cent</w:t>
            </w:r>
            <w:r w:rsidR="00490C9B">
              <w:rPr>
                <w:rFonts w:ascii="Calibri Light" w:hAnsi="Calibri Light"/>
                <w:b/>
              </w:rPr>
              <w:t>re</w:t>
            </w:r>
            <w:r>
              <w:rPr>
                <w:rFonts w:ascii="Calibri Light" w:hAnsi="Calibri Light"/>
                <w:b/>
              </w:rPr>
              <w:t xml:space="preserve">, Eurexpo Lyon, La Sucrière, and event activities at Matmut Stadium Lyon Gerland) pursued their growth in 2018, with revenue reaching 54.3 M€, showing progression of nearly 17% with respect to 2016 (comparable year). These results confirm Lyon’s position as a major player for business tourism in Europe. </w:t>
            </w:r>
          </w:p>
          <w:p w14:paraId="03FC7541" w14:textId="77777777" w:rsidR="00D22F7B" w:rsidRPr="005871D2" w:rsidRDefault="00D22F7B" w:rsidP="009E193E">
            <w:pPr>
              <w:spacing w:after="0" w:line="240" w:lineRule="auto"/>
              <w:jc w:val="both"/>
              <w:rPr>
                <w:rFonts w:ascii="Calibri Light" w:hAnsi="Calibri Light" w:cs="Calibri Light"/>
                <w:szCs w:val="20"/>
              </w:rPr>
            </w:pPr>
          </w:p>
          <w:p w14:paraId="072AF0F8" w14:textId="31920D6B" w:rsidR="00D22F7B" w:rsidRPr="005871D2" w:rsidRDefault="009A560C" w:rsidP="009E193E">
            <w:pPr>
              <w:spacing w:after="120" w:line="240" w:lineRule="auto"/>
              <w:jc w:val="both"/>
              <w:rPr>
                <w:rFonts w:ascii="Calibri Light" w:eastAsia="Times New Roman" w:hAnsi="Calibri Light" w:cs="Calibri Light"/>
                <w:b/>
                <w:color w:val="000000"/>
                <w:sz w:val="28"/>
              </w:rPr>
            </w:pPr>
            <w:r>
              <w:rPr>
                <w:rFonts w:ascii="Calibri Light" w:hAnsi="Calibri Light"/>
                <w:b/>
                <w:color w:val="000000"/>
                <w:sz w:val="28"/>
              </w:rPr>
              <w:t xml:space="preserve">2018, new record driven by high-quality offering in Lyon </w:t>
            </w:r>
          </w:p>
          <w:p w14:paraId="156B0FF8" w14:textId="7F304F3B" w:rsidR="001208D0" w:rsidRPr="005871D2" w:rsidRDefault="00305011" w:rsidP="009E193E">
            <w:pPr>
              <w:spacing w:after="240" w:line="240" w:lineRule="auto"/>
              <w:jc w:val="both"/>
              <w:rPr>
                <w:rFonts w:ascii="Calibri Light" w:eastAsia="Times New Roman" w:hAnsi="Calibri Light" w:cs="Calibri Light"/>
                <w:sz w:val="24"/>
                <w:szCs w:val="20"/>
              </w:rPr>
            </w:pPr>
            <w:r>
              <w:rPr>
                <w:rFonts w:ascii="Calibri Light" w:hAnsi="Calibri Light"/>
              </w:rPr>
              <w:t xml:space="preserve">In 2018, Lyon once again distinguished itself for its ability to handle major international events, with some clients holding their national </w:t>
            </w:r>
            <w:r w:rsidR="00490C9B">
              <w:rPr>
                <w:rFonts w:ascii="Calibri Light" w:hAnsi="Calibri Light"/>
              </w:rPr>
              <w:t>venues</w:t>
            </w:r>
            <w:r>
              <w:rPr>
                <w:rFonts w:ascii="Calibri Light" w:hAnsi="Calibri Light"/>
              </w:rPr>
              <w:t xml:space="preserve"> exclusively in Lyon. With their </w:t>
            </w:r>
            <w:r>
              <w:rPr>
                <w:rFonts w:ascii="Calibri Light" w:hAnsi="Calibri Light"/>
                <w:b/>
              </w:rPr>
              <w:t xml:space="preserve">surface area representing over 170,000 </w:t>
            </w:r>
            <w:r w:rsidR="00490C9B">
              <w:rPr>
                <w:rFonts w:ascii="Calibri Light" w:hAnsi="Calibri Light"/>
                <w:b/>
              </w:rPr>
              <w:t>sqm</w:t>
            </w:r>
            <w:r>
              <w:rPr>
                <w:rFonts w:ascii="Calibri Light" w:hAnsi="Calibri Light"/>
              </w:rPr>
              <w:t xml:space="preserve">, the four GL events </w:t>
            </w:r>
            <w:r w:rsidR="00490C9B">
              <w:rPr>
                <w:rFonts w:ascii="Calibri Light" w:hAnsi="Calibri Light"/>
              </w:rPr>
              <w:t>venues</w:t>
            </w:r>
            <w:r>
              <w:rPr>
                <w:rFonts w:ascii="Calibri Light" w:hAnsi="Calibri Light"/>
              </w:rPr>
              <w:t xml:space="preserve"> in Lyon welcomed nearly </w:t>
            </w:r>
            <w:r>
              <w:rPr>
                <w:rFonts w:ascii="Calibri Light" w:hAnsi="Calibri Light"/>
                <w:b/>
              </w:rPr>
              <w:t xml:space="preserve">1.8 million visitors and more than 530 events, </w:t>
            </w:r>
            <w:r>
              <w:rPr>
                <w:rFonts w:ascii="Calibri Light" w:hAnsi="Calibri Light"/>
              </w:rPr>
              <w:t>including</w:t>
            </w:r>
            <w:r>
              <w:rPr>
                <w:rFonts w:ascii="Calibri Light" w:hAnsi="Calibri Light"/>
                <w:sz w:val="24"/>
              </w:rPr>
              <w:t xml:space="preserve">: </w:t>
            </w:r>
          </w:p>
          <w:tbl>
            <w:tblPr>
              <w:tblW w:w="9995" w:type="dxa"/>
              <w:tblLook w:val="04A0" w:firstRow="1" w:lastRow="0" w:firstColumn="1" w:lastColumn="0" w:noHBand="0" w:noVBand="1"/>
            </w:tblPr>
            <w:tblGrid>
              <w:gridCol w:w="2381"/>
              <w:gridCol w:w="7614"/>
            </w:tblGrid>
            <w:tr w:rsidR="001208D0" w:rsidRPr="005871D2" w14:paraId="2E8B0CB4" w14:textId="77777777" w:rsidTr="009E193E">
              <w:trPr>
                <w:trHeight w:val="1107"/>
              </w:trPr>
              <w:tc>
                <w:tcPr>
                  <w:tcW w:w="2376" w:type="dxa"/>
                  <w:tcBorders>
                    <w:bottom w:val="single" w:sz="4" w:space="0" w:color="D9D9D9"/>
                  </w:tcBorders>
                  <w:shd w:val="clear" w:color="auto" w:fill="auto"/>
                </w:tcPr>
                <w:p w14:paraId="686702A8" w14:textId="77777777" w:rsidR="000A45E1" w:rsidRPr="005871D2" w:rsidRDefault="000A45E1" w:rsidP="009E193E">
                  <w:pPr>
                    <w:tabs>
                      <w:tab w:val="left" w:pos="3217"/>
                    </w:tabs>
                    <w:spacing w:after="0" w:line="240" w:lineRule="auto"/>
                    <w:rPr>
                      <w:rFonts w:ascii="Calibri Light" w:hAnsi="Calibri Light" w:cs="Calibri Light"/>
                      <w:color w:val="70AD47"/>
                    </w:rPr>
                  </w:pPr>
                </w:p>
                <w:p w14:paraId="47506793" w14:textId="3E088870" w:rsidR="001208D0" w:rsidRPr="005871D2" w:rsidRDefault="00764279" w:rsidP="009E193E">
                  <w:pPr>
                    <w:tabs>
                      <w:tab w:val="left" w:pos="3217"/>
                    </w:tabs>
                    <w:spacing w:after="0" w:line="240" w:lineRule="auto"/>
                    <w:rPr>
                      <w:rFonts w:ascii="Calibri Light" w:hAnsi="Calibri Light" w:cs="Calibri Light"/>
                      <w:color w:val="70AD47"/>
                    </w:rPr>
                  </w:pPr>
                  <w:r>
                    <w:rPr>
                      <w:rFonts w:ascii="Calibri Light" w:hAnsi="Calibri Light" w:cs="Calibri Light"/>
                      <w:noProof/>
                      <w:color w:val="70AD47"/>
                    </w:rPr>
                    <w:drawing>
                      <wp:inline distT="0" distB="0" distL="0" distR="0" wp14:anchorId="709EBA26" wp14:editId="5617E22B">
                        <wp:extent cx="1200150" cy="6572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t="10406" b="7201"/>
                                <a:stretch>
                                  <a:fillRect/>
                                </a:stretch>
                              </pic:blipFill>
                              <pic:spPr bwMode="auto">
                                <a:xfrm>
                                  <a:off x="0" y="0"/>
                                  <a:ext cx="1200150" cy="657225"/>
                                </a:xfrm>
                                <a:prstGeom prst="rect">
                                  <a:avLst/>
                                </a:prstGeom>
                                <a:noFill/>
                                <a:ln>
                                  <a:noFill/>
                                </a:ln>
                              </pic:spPr>
                            </pic:pic>
                          </a:graphicData>
                        </a:graphic>
                      </wp:inline>
                    </w:drawing>
                  </w:r>
                </w:p>
              </w:tc>
              <w:tc>
                <w:tcPr>
                  <w:tcW w:w="7614" w:type="dxa"/>
                  <w:tcBorders>
                    <w:bottom w:val="single" w:sz="4" w:space="0" w:color="D9D9D9"/>
                  </w:tcBorders>
                  <w:shd w:val="clear" w:color="auto" w:fill="auto"/>
                </w:tcPr>
                <w:p w14:paraId="1409625A" w14:textId="009516C0" w:rsidR="001208D0" w:rsidRPr="005871D2" w:rsidRDefault="006430AE" w:rsidP="00507473">
                  <w:pPr>
                    <w:pStyle w:val="Sansinterligne"/>
                    <w:jc w:val="both"/>
                    <w:rPr>
                      <w:rFonts w:asciiTheme="majorHAnsi" w:hAnsiTheme="majorHAnsi" w:cstheme="majorHAnsi"/>
                    </w:rPr>
                  </w:pPr>
                  <w:r>
                    <w:rPr>
                      <w:rFonts w:asciiTheme="majorHAnsi" w:hAnsiTheme="majorHAnsi" w:cstheme="majorHAnsi"/>
                      <w:b/>
                    </w:rPr>
                    <w:t>At Eurexpo Lyon</w:t>
                  </w:r>
                  <w:r>
                    <w:t xml:space="preserve">, the #1 French exhibition park outside Paris, ranked in the Top 14 of the leading exhibition centers in Europe </w:t>
                  </w:r>
                  <w:r w:rsidRPr="00490C9B">
                    <w:t>(</w:t>
                  </w:r>
                  <w:hyperlink r:id="rId13">
                    <w:r w:rsidRPr="00490C9B">
                      <w:rPr>
                        <w:rFonts w:asciiTheme="majorHAnsi" w:hAnsiTheme="majorHAnsi" w:cstheme="majorHAnsi"/>
                      </w:rPr>
                      <w:t>EMECA</w:t>
                    </w:r>
                  </w:hyperlink>
                  <w:r w:rsidRPr="00490C9B">
                    <w:t>* ranking):</w:t>
                  </w:r>
                  <w:r>
                    <w:t xml:space="preserve"> </w:t>
                  </w:r>
                  <w:r>
                    <w:rPr>
                      <w:rFonts w:asciiTheme="majorHAnsi" w:hAnsiTheme="majorHAnsi" w:cstheme="majorHAnsi"/>
                    </w:rPr>
                    <w:t>major trade fairs for professionals and the general public, including the Lyon International Fair, Equita Lyon, Epoqu’Auto, and Pollutec (nearly 70,000 people from 128 countries), as well as new events such as Salon de l’Etudiant, SIRHA Green, and Natexpo.</w:t>
                  </w:r>
                </w:p>
                <w:p w14:paraId="3753B777" w14:textId="17A78FF7" w:rsidR="00507473" w:rsidRPr="005871D2" w:rsidRDefault="00507473" w:rsidP="00507473">
                  <w:pPr>
                    <w:pStyle w:val="Sansinterligne"/>
                    <w:jc w:val="both"/>
                    <w:rPr>
                      <w:rFonts w:asciiTheme="majorHAnsi" w:hAnsiTheme="majorHAnsi" w:cstheme="majorHAnsi"/>
                      <w:i/>
                    </w:rPr>
                  </w:pPr>
                  <w:r>
                    <w:rPr>
                      <w:rFonts w:asciiTheme="majorHAnsi" w:hAnsiTheme="majorHAnsi" w:cstheme="majorHAnsi"/>
                      <w:i/>
                    </w:rPr>
                    <w:t>*EMECA: European Major Exhibition Centres Association</w:t>
                  </w:r>
                </w:p>
                <w:p w14:paraId="54BE95F0" w14:textId="091209AA" w:rsidR="00340A9E" w:rsidRPr="005871D2" w:rsidRDefault="00340A9E" w:rsidP="00340A9E">
                  <w:pPr>
                    <w:tabs>
                      <w:tab w:val="left" w:pos="3217"/>
                    </w:tabs>
                    <w:spacing w:before="120" w:after="0" w:line="240" w:lineRule="auto"/>
                    <w:ind w:left="40"/>
                    <w:jc w:val="both"/>
                    <w:rPr>
                      <w:rFonts w:ascii="Calibri Light" w:hAnsi="Calibri Light" w:cs="Calibri Light"/>
                      <w:sz w:val="2"/>
                      <w:szCs w:val="2"/>
                    </w:rPr>
                  </w:pPr>
                </w:p>
              </w:tc>
            </w:tr>
            <w:tr w:rsidR="001208D0" w:rsidRPr="005871D2" w14:paraId="31DDF5EC" w14:textId="77777777" w:rsidTr="009E193E">
              <w:trPr>
                <w:trHeight w:val="1313"/>
              </w:trPr>
              <w:tc>
                <w:tcPr>
                  <w:tcW w:w="2381" w:type="dxa"/>
                  <w:tcBorders>
                    <w:top w:val="single" w:sz="4" w:space="0" w:color="D9D9D9"/>
                    <w:bottom w:val="single" w:sz="4" w:space="0" w:color="D9D9D9"/>
                  </w:tcBorders>
                  <w:shd w:val="clear" w:color="auto" w:fill="auto"/>
                </w:tcPr>
                <w:p w14:paraId="27731A2D" w14:textId="03CE8651" w:rsidR="001208D0" w:rsidRPr="005871D2" w:rsidRDefault="00764279" w:rsidP="009E193E">
                  <w:pPr>
                    <w:tabs>
                      <w:tab w:val="left" w:pos="3217"/>
                    </w:tabs>
                    <w:spacing w:before="120" w:after="0" w:line="240" w:lineRule="auto"/>
                    <w:rPr>
                      <w:rFonts w:ascii="Calibri Light" w:hAnsi="Calibri Light" w:cs="Calibri Light"/>
                      <w:color w:val="70AD47"/>
                    </w:rPr>
                  </w:pPr>
                  <w:r>
                    <w:rPr>
                      <w:rFonts w:ascii="Calibri Light" w:hAnsi="Calibri Light" w:cs="Calibri Light"/>
                      <w:noProof/>
                      <w:color w:val="70AD47"/>
                    </w:rPr>
                    <w:drawing>
                      <wp:inline distT="0" distB="0" distL="0" distR="0" wp14:anchorId="145835B3" wp14:editId="6085B06F">
                        <wp:extent cx="1200150" cy="676275"/>
                        <wp:effectExtent l="0" t="0" r="0" b="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150" cy="676275"/>
                                </a:xfrm>
                                <a:prstGeom prst="rect">
                                  <a:avLst/>
                                </a:prstGeom>
                                <a:noFill/>
                                <a:ln>
                                  <a:noFill/>
                                </a:ln>
                              </pic:spPr>
                            </pic:pic>
                          </a:graphicData>
                        </a:graphic>
                      </wp:inline>
                    </w:drawing>
                  </w:r>
                </w:p>
              </w:tc>
              <w:tc>
                <w:tcPr>
                  <w:tcW w:w="7614" w:type="dxa"/>
                  <w:tcBorders>
                    <w:top w:val="single" w:sz="4" w:space="0" w:color="D9D9D9"/>
                    <w:bottom w:val="single" w:sz="4" w:space="0" w:color="D9D9D9"/>
                  </w:tcBorders>
                  <w:shd w:val="clear" w:color="auto" w:fill="auto"/>
                </w:tcPr>
                <w:p w14:paraId="05C00073" w14:textId="4C3D172A" w:rsidR="001208D0" w:rsidRPr="005871D2" w:rsidRDefault="006430AE" w:rsidP="009E193E">
                  <w:pPr>
                    <w:autoSpaceDE w:val="0"/>
                    <w:autoSpaceDN w:val="0"/>
                    <w:adjustRightInd w:val="0"/>
                    <w:spacing w:before="120" w:after="0" w:line="240" w:lineRule="auto"/>
                    <w:jc w:val="both"/>
                    <w:rPr>
                      <w:rFonts w:ascii="Calibri Light" w:hAnsi="Calibri Light" w:cs="Calibri Light"/>
                    </w:rPr>
                  </w:pPr>
                  <w:r>
                    <w:rPr>
                      <w:rFonts w:ascii="Calibri Light" w:hAnsi="Calibri Light"/>
                      <w:b/>
                    </w:rPr>
                    <w:t>At the Lyon Convention Cent</w:t>
                  </w:r>
                  <w:r w:rsidR="00490C9B">
                    <w:rPr>
                      <w:rFonts w:ascii="Calibri Light" w:hAnsi="Calibri Light"/>
                      <w:b/>
                    </w:rPr>
                    <w:t>re</w:t>
                  </w:r>
                  <w:r>
                    <w:rPr>
                      <w:rFonts w:ascii="Calibri Light" w:hAnsi="Calibri Light"/>
                    </w:rPr>
                    <w:t>: the 22</w:t>
                  </w:r>
                  <w:r>
                    <w:rPr>
                      <w:rFonts w:ascii="Calibri Light" w:hAnsi="Calibri Light"/>
                      <w:vertAlign w:val="superscript"/>
                    </w:rPr>
                    <w:t>nd</w:t>
                  </w:r>
                  <w:r>
                    <w:rPr>
                      <w:rFonts w:ascii="Calibri Light" w:hAnsi="Calibri Light"/>
                    </w:rPr>
                    <w:t xml:space="preserve"> French-language Pneumology Conference, with over 3,000 attendees; The Web Conference, which is returning to Lyon for the second time; the French Pediatrics Conference; Entreprise DU FUTUR conference (with its 3,250 director-level attendees)</w:t>
                  </w:r>
                  <w:r w:rsidR="00F22AE6">
                    <w:rPr>
                      <w:rFonts w:ascii="Calibri Light" w:hAnsi="Calibri Light"/>
                    </w:rPr>
                    <w:t>;</w:t>
                  </w:r>
                  <w:r>
                    <w:rPr>
                      <w:rFonts w:ascii="Calibri Light" w:hAnsi="Calibri Light"/>
                    </w:rPr>
                    <w:t xml:space="preserve"> and Sido. </w:t>
                  </w:r>
                </w:p>
              </w:tc>
            </w:tr>
            <w:tr w:rsidR="001208D0" w:rsidRPr="005871D2" w14:paraId="4E4452B9" w14:textId="77777777" w:rsidTr="00BE197D">
              <w:trPr>
                <w:trHeight w:val="1292"/>
              </w:trPr>
              <w:tc>
                <w:tcPr>
                  <w:tcW w:w="2376" w:type="dxa"/>
                  <w:tcBorders>
                    <w:top w:val="single" w:sz="4" w:space="0" w:color="D9D9D9"/>
                    <w:bottom w:val="single" w:sz="4" w:space="0" w:color="D9D9D9"/>
                  </w:tcBorders>
                  <w:shd w:val="clear" w:color="auto" w:fill="auto"/>
                </w:tcPr>
                <w:p w14:paraId="2B3036C7" w14:textId="1EA2A6AA" w:rsidR="001208D0" w:rsidRPr="005871D2" w:rsidRDefault="00764279" w:rsidP="009E193E">
                  <w:pPr>
                    <w:tabs>
                      <w:tab w:val="left" w:pos="3217"/>
                    </w:tabs>
                    <w:spacing w:before="120" w:after="0" w:line="240" w:lineRule="auto"/>
                    <w:rPr>
                      <w:rFonts w:ascii="Calibri Light" w:hAnsi="Calibri Light" w:cs="Calibri Light"/>
                      <w:color w:val="70AD47"/>
                    </w:rPr>
                  </w:pPr>
                  <w:r>
                    <w:rPr>
                      <w:rFonts w:ascii="Calibri Light" w:hAnsi="Calibri Light" w:cs="Calibri Light"/>
                      <w:noProof/>
                      <w:color w:val="70AD47"/>
                    </w:rPr>
                    <w:drawing>
                      <wp:inline distT="0" distB="0" distL="0" distR="0" wp14:anchorId="1710CB1A" wp14:editId="197AFF59">
                        <wp:extent cx="1200150" cy="647700"/>
                        <wp:effectExtent l="0" t="0" r="0" b="0"/>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5">
                                  <a:extLst>
                                    <a:ext uri="{28A0092B-C50C-407E-A947-70E740481C1C}">
                                      <a14:useLocalDpi xmlns:a14="http://schemas.microsoft.com/office/drawing/2010/main" val="0"/>
                                    </a:ext>
                                  </a:extLst>
                                </a:blip>
                                <a:srcRect l="3764" t="7478" r="10788"/>
                                <a:stretch>
                                  <a:fillRect/>
                                </a:stretch>
                              </pic:blipFill>
                              <pic:spPr bwMode="auto">
                                <a:xfrm>
                                  <a:off x="0" y="0"/>
                                  <a:ext cx="1200150" cy="647700"/>
                                </a:xfrm>
                                <a:prstGeom prst="rect">
                                  <a:avLst/>
                                </a:prstGeom>
                                <a:noFill/>
                                <a:ln>
                                  <a:noFill/>
                                </a:ln>
                              </pic:spPr>
                            </pic:pic>
                          </a:graphicData>
                        </a:graphic>
                      </wp:inline>
                    </w:drawing>
                  </w:r>
                </w:p>
              </w:tc>
              <w:tc>
                <w:tcPr>
                  <w:tcW w:w="7614" w:type="dxa"/>
                  <w:tcBorders>
                    <w:top w:val="single" w:sz="4" w:space="0" w:color="D9D9D9"/>
                    <w:bottom w:val="single" w:sz="4" w:space="0" w:color="D9D9D9"/>
                  </w:tcBorders>
                  <w:shd w:val="clear" w:color="auto" w:fill="auto"/>
                </w:tcPr>
                <w:p w14:paraId="6727ACEF" w14:textId="77777777" w:rsidR="008C0F95" w:rsidRPr="005871D2" w:rsidRDefault="008C0F95" w:rsidP="009E193E">
                  <w:pPr>
                    <w:tabs>
                      <w:tab w:val="left" w:pos="3217"/>
                    </w:tabs>
                    <w:spacing w:after="0" w:line="240" w:lineRule="auto"/>
                    <w:jc w:val="both"/>
                    <w:rPr>
                      <w:rFonts w:ascii="Calibri Light" w:hAnsi="Calibri Light" w:cs="Calibri Light"/>
                      <w:b/>
                      <w:sz w:val="10"/>
                      <w:szCs w:val="10"/>
                    </w:rPr>
                  </w:pPr>
                  <w:bookmarkStart w:id="1" w:name="_Hlk5721034"/>
                </w:p>
                <w:p w14:paraId="1052A9AF" w14:textId="002E0975" w:rsidR="00BE197D" w:rsidRPr="005871D2" w:rsidRDefault="001208D0" w:rsidP="00BE197D">
                  <w:pPr>
                    <w:tabs>
                      <w:tab w:val="left" w:pos="3217"/>
                    </w:tabs>
                    <w:spacing w:after="0" w:line="240" w:lineRule="auto"/>
                    <w:jc w:val="both"/>
                    <w:rPr>
                      <w:rFonts w:ascii="Calibri Light" w:hAnsi="Calibri Light" w:cs="Calibri Light"/>
                      <w:szCs w:val="20"/>
                    </w:rPr>
                  </w:pPr>
                  <w:r>
                    <w:rPr>
                      <w:rFonts w:ascii="Calibri Light" w:hAnsi="Calibri Light"/>
                      <w:b/>
                    </w:rPr>
                    <w:t xml:space="preserve">At Matmut Stadium Lyon Gerland: </w:t>
                  </w:r>
                  <w:r>
                    <w:rPr>
                      <w:rFonts w:ascii="Calibri Light" w:hAnsi="Calibri Light"/>
                    </w:rPr>
                    <w:t>over 200 events held, including SEB’s New Year’s Greetings in January, Point S corporate event in June, ARIIX festive evening in March, and the Orange Tour roadshow in October.</w:t>
                  </w:r>
                  <w:bookmarkEnd w:id="1"/>
                </w:p>
              </w:tc>
            </w:tr>
            <w:tr w:rsidR="001208D0" w:rsidRPr="005871D2" w14:paraId="23A55CE8" w14:textId="77777777" w:rsidTr="009E193E">
              <w:tc>
                <w:tcPr>
                  <w:tcW w:w="2376" w:type="dxa"/>
                  <w:tcBorders>
                    <w:top w:val="single" w:sz="4" w:space="0" w:color="D9D9D9"/>
                  </w:tcBorders>
                  <w:shd w:val="clear" w:color="auto" w:fill="auto"/>
                </w:tcPr>
                <w:p w14:paraId="2E266D3B" w14:textId="348BA1F4" w:rsidR="001208D0" w:rsidRPr="005871D2" w:rsidRDefault="00764279" w:rsidP="009E193E">
                  <w:pPr>
                    <w:tabs>
                      <w:tab w:val="left" w:pos="3217"/>
                    </w:tabs>
                    <w:spacing w:before="120" w:after="0" w:line="240" w:lineRule="auto"/>
                    <w:rPr>
                      <w:rFonts w:ascii="Calibri Light" w:hAnsi="Calibri Light" w:cs="Calibri Light"/>
                      <w:color w:val="70AD47"/>
                    </w:rPr>
                  </w:pPr>
                  <w:r>
                    <w:rPr>
                      <w:rFonts w:ascii="Calibri Light" w:hAnsi="Calibri Light" w:cs="Calibri Light"/>
                      <w:noProof/>
                      <w:color w:val="70AD47"/>
                    </w:rPr>
                    <w:drawing>
                      <wp:inline distT="0" distB="0" distL="0" distR="0" wp14:anchorId="7A4C6B53" wp14:editId="25BBE6A2">
                        <wp:extent cx="1200150" cy="638175"/>
                        <wp:effectExtent l="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6">
                                  <a:extLst>
                                    <a:ext uri="{28A0092B-C50C-407E-A947-70E740481C1C}">
                                      <a14:useLocalDpi xmlns:a14="http://schemas.microsoft.com/office/drawing/2010/main" val="0"/>
                                    </a:ext>
                                  </a:extLst>
                                </a:blip>
                                <a:srcRect l="7957" r="3905" b="14420"/>
                                <a:stretch>
                                  <a:fillRect/>
                                </a:stretch>
                              </pic:blipFill>
                              <pic:spPr bwMode="auto">
                                <a:xfrm>
                                  <a:off x="0" y="0"/>
                                  <a:ext cx="1200150" cy="638175"/>
                                </a:xfrm>
                                <a:prstGeom prst="rect">
                                  <a:avLst/>
                                </a:prstGeom>
                                <a:noFill/>
                                <a:ln>
                                  <a:noFill/>
                                </a:ln>
                              </pic:spPr>
                            </pic:pic>
                          </a:graphicData>
                        </a:graphic>
                      </wp:inline>
                    </w:drawing>
                  </w:r>
                </w:p>
              </w:tc>
              <w:tc>
                <w:tcPr>
                  <w:tcW w:w="7614" w:type="dxa"/>
                  <w:tcBorders>
                    <w:top w:val="single" w:sz="4" w:space="0" w:color="D9D9D9"/>
                  </w:tcBorders>
                  <w:shd w:val="clear" w:color="auto" w:fill="auto"/>
                </w:tcPr>
                <w:p w14:paraId="13394B1A" w14:textId="77777777" w:rsidR="000147BD" w:rsidRPr="005871D2" w:rsidRDefault="000147BD" w:rsidP="009E193E">
                  <w:pPr>
                    <w:tabs>
                      <w:tab w:val="left" w:pos="3217"/>
                    </w:tabs>
                    <w:spacing w:after="0" w:line="240" w:lineRule="auto"/>
                    <w:jc w:val="both"/>
                    <w:rPr>
                      <w:rFonts w:ascii="Calibri Light" w:hAnsi="Calibri Light" w:cs="Calibri Light"/>
                      <w:b/>
                      <w:sz w:val="10"/>
                      <w:szCs w:val="10"/>
                    </w:rPr>
                  </w:pPr>
                </w:p>
                <w:p w14:paraId="1C4BD133" w14:textId="68C8417E" w:rsidR="0060770F" w:rsidRPr="005871D2" w:rsidRDefault="001208D0" w:rsidP="00900233">
                  <w:pPr>
                    <w:tabs>
                      <w:tab w:val="left" w:pos="3217"/>
                    </w:tabs>
                    <w:spacing w:after="0" w:line="240" w:lineRule="auto"/>
                    <w:jc w:val="both"/>
                    <w:rPr>
                      <w:rFonts w:ascii="Calibri Light" w:hAnsi="Calibri Light" w:cs="Calibri Light"/>
                      <w:color w:val="70AD47"/>
                      <w:sz w:val="16"/>
                    </w:rPr>
                  </w:pPr>
                  <w:r>
                    <w:rPr>
                      <w:rFonts w:ascii="Calibri Light" w:hAnsi="Calibri Light"/>
                      <w:b/>
                    </w:rPr>
                    <w:t>At La</w:t>
                  </w:r>
                  <w:r w:rsidR="00490C9B">
                    <w:rPr>
                      <w:rFonts w:ascii="Calibri Light" w:hAnsi="Calibri Light"/>
                      <w:b/>
                    </w:rPr>
                    <w:t xml:space="preserve"> </w:t>
                  </w:r>
                  <w:proofErr w:type="spellStart"/>
                  <w:r>
                    <w:rPr>
                      <w:rFonts w:ascii="Calibri Light" w:hAnsi="Calibri Light"/>
                      <w:b/>
                    </w:rPr>
                    <w:t>Sucrière</w:t>
                  </w:r>
                  <w:proofErr w:type="spellEnd"/>
                  <w:r>
                    <w:rPr>
                      <w:rFonts w:ascii="Calibri Light" w:hAnsi="Calibri Light"/>
                    </w:rPr>
                    <w:t xml:space="preserve">: world-class cultural events such as the Da Vinci exhibition, </w:t>
                  </w:r>
                  <w:r w:rsidR="00F22AE6">
                    <w:rPr>
                      <w:rFonts w:ascii="Calibri Light" w:hAnsi="Calibri Light"/>
                    </w:rPr>
                    <w:t>and</w:t>
                  </w:r>
                  <w:r>
                    <w:rPr>
                      <w:rFonts w:ascii="Calibri Light" w:hAnsi="Calibri Light"/>
                    </w:rPr>
                    <w:t xml:space="preserve"> professional events </w:t>
                  </w:r>
                  <w:r w:rsidR="00F22AE6">
                    <w:rPr>
                      <w:rFonts w:ascii="Calibri Light" w:hAnsi="Calibri Light"/>
                    </w:rPr>
                    <w:t xml:space="preserve">including </w:t>
                  </w:r>
                  <w:r>
                    <w:rPr>
                      <w:rFonts w:ascii="Calibri Light" w:hAnsi="Calibri Light"/>
                    </w:rPr>
                    <w:t xml:space="preserve">the IXDA Conference, COMPUTACENTER cocktail reception, </w:t>
                  </w:r>
                  <w:r w:rsidR="00F22AE6">
                    <w:rPr>
                      <w:rFonts w:ascii="Calibri Light" w:hAnsi="Calibri Light"/>
                    </w:rPr>
                    <w:t xml:space="preserve">as well as </w:t>
                  </w:r>
                  <w:r>
                    <w:rPr>
                      <w:rFonts w:ascii="Calibri Light" w:hAnsi="Calibri Light"/>
                    </w:rPr>
                    <w:t xml:space="preserve">conferences such as Printemps des Dock lifestyle fair, which has become an annual flagship event. </w:t>
                  </w:r>
                </w:p>
              </w:tc>
            </w:tr>
          </w:tbl>
          <w:p w14:paraId="41066AC8" w14:textId="371B2542" w:rsidR="00A70B32" w:rsidRPr="005871D2" w:rsidRDefault="00646465" w:rsidP="009E193E">
            <w:pPr>
              <w:spacing w:before="240" w:after="120" w:line="240" w:lineRule="auto"/>
              <w:jc w:val="both"/>
              <w:rPr>
                <w:rFonts w:ascii="Calibri Light" w:eastAsia="Times New Roman" w:hAnsi="Calibri Light" w:cs="Calibri Light"/>
                <w:szCs w:val="20"/>
              </w:rPr>
            </w:pPr>
            <w:r>
              <w:rPr>
                <w:rFonts w:ascii="Calibri Light" w:hAnsi="Calibri Light"/>
              </w:rPr>
              <w:t>This success is based on several factors, in particular:</w:t>
            </w:r>
          </w:p>
          <w:p w14:paraId="2E3B4D4E" w14:textId="616DC0EA" w:rsidR="008D6595" w:rsidRPr="005871D2" w:rsidRDefault="008E6DA7" w:rsidP="0096369A">
            <w:pPr>
              <w:pStyle w:val="Paragraphedeliste"/>
              <w:numPr>
                <w:ilvl w:val="0"/>
                <w:numId w:val="18"/>
              </w:numPr>
              <w:spacing w:before="240" w:after="0" w:line="240" w:lineRule="auto"/>
              <w:ind w:left="714" w:hanging="357"/>
              <w:contextualSpacing w:val="0"/>
              <w:jc w:val="both"/>
              <w:rPr>
                <w:rFonts w:ascii="Calibri Light" w:hAnsi="Calibri Light" w:cs="Calibri Light"/>
                <w:bCs/>
              </w:rPr>
            </w:pPr>
            <w:r>
              <w:rPr>
                <w:rFonts w:ascii="Calibri Light" w:hAnsi="Calibri Light"/>
                <w:b/>
              </w:rPr>
              <w:t xml:space="preserve">The increasing attractiveness of Lyon as a destination: </w:t>
            </w:r>
            <w:r>
              <w:rPr>
                <w:rFonts w:ascii="Calibri Light" w:hAnsi="Calibri Light"/>
              </w:rPr>
              <w:t xml:space="preserve">Lyon has now become a </w:t>
            </w:r>
            <w:r>
              <w:rPr>
                <w:rFonts w:ascii="Calibri Light" w:hAnsi="Calibri Light"/>
                <w:b/>
              </w:rPr>
              <w:t>major destination for business tourism in Europe</w:t>
            </w:r>
            <w:r>
              <w:rPr>
                <w:rFonts w:ascii="Calibri Light" w:hAnsi="Calibri Light"/>
              </w:rPr>
              <w:t xml:space="preserve">, in particular thanks to the continuous improvement of reception and accessibility conditions over the past 10 years, along with attractiveness regarding tourism also showing strong progress, as demonstrated by awards received as the </w:t>
            </w:r>
            <w:r>
              <w:rPr>
                <w:rStyle w:val="lev"/>
                <w:rFonts w:ascii="Calibri Light" w:hAnsi="Calibri Light"/>
                <w:b w:val="0"/>
                <w:color w:val="343434"/>
                <w:bdr w:val="none" w:sz="0" w:space="0" w:color="auto" w:frame="1"/>
                <w:shd w:val="clear" w:color="auto" w:fill="FFFFFF"/>
              </w:rPr>
              <w:t xml:space="preserve">#1 </w:t>
            </w:r>
            <w:r>
              <w:rPr>
                <w:rStyle w:val="lev"/>
                <w:color w:val="343434"/>
                <w:bdr w:val="none" w:sz="0" w:space="0" w:color="auto" w:frame="1"/>
                <w:shd w:val="clear" w:color="auto" w:fill="FFFFFF"/>
              </w:rPr>
              <w:t>European Week-end Destination</w:t>
            </w:r>
            <w:r>
              <w:rPr>
                <w:rFonts w:ascii="Calibri Light" w:hAnsi="Calibri Light"/>
                <w:color w:val="343434"/>
                <w:shd w:val="clear" w:color="auto" w:fill="FFFFFF"/>
              </w:rPr>
              <w:t xml:space="preserve"> and the European Capital of Smart Tourism.</w:t>
            </w:r>
            <w:r>
              <w:rPr>
                <w:rFonts w:ascii="Calibri Light" w:hAnsi="Calibri Light"/>
              </w:rPr>
              <w:t xml:space="preserve"> With respect to event activity, the most recent ICCA (International Congress and Convention Association) ranking for 2018 once again confirms Lyon’s position by listing the city – for the third consecutive year – in 1</w:t>
            </w:r>
            <w:r>
              <w:rPr>
                <w:rFonts w:ascii="Calibri Light" w:hAnsi="Calibri Light"/>
                <w:vertAlign w:val="superscript"/>
              </w:rPr>
              <w:t>st</w:t>
            </w:r>
            <w:r>
              <w:rPr>
                <w:rFonts w:ascii="Calibri Light" w:hAnsi="Calibri Light"/>
              </w:rPr>
              <w:t xml:space="preserve"> place in France, after Paris. </w:t>
            </w:r>
          </w:p>
          <w:p w14:paraId="75AC885A" w14:textId="30D2B8E0" w:rsidR="00E34321" w:rsidRPr="005871D2" w:rsidRDefault="006A7AA6" w:rsidP="00107971">
            <w:pPr>
              <w:spacing w:before="240" w:after="0" w:line="240" w:lineRule="auto"/>
              <w:ind w:left="741"/>
              <w:jc w:val="both"/>
              <w:rPr>
                <w:rFonts w:ascii="Calibri Light" w:hAnsi="Calibri Light" w:cs="Calibri Light"/>
                <w:i/>
                <w:color w:val="595959"/>
                <w:sz w:val="20"/>
                <w:szCs w:val="20"/>
              </w:rPr>
            </w:pPr>
            <w:r>
              <w:rPr>
                <w:rFonts w:ascii="Calibri Light" w:hAnsi="Calibri Light"/>
                <w:i/>
                <w:color w:val="7F7F7F"/>
              </w:rPr>
              <w:t xml:space="preserve"> </w:t>
            </w:r>
            <w:r>
              <w:rPr>
                <w:rFonts w:ascii="Calibri Light" w:hAnsi="Calibri Light"/>
                <w:i/>
                <w:color w:val="595959"/>
              </w:rPr>
              <w:t xml:space="preserve">“Lyon is a major city for both conferences and trade shows, placing us in the Top 10 destinations overall in Europe.” </w:t>
            </w:r>
            <w:r>
              <w:rPr>
                <w:rFonts w:ascii="Calibri Light" w:hAnsi="Calibri Light"/>
                <w:i/>
                <w:color w:val="595959"/>
                <w:sz w:val="20"/>
              </w:rPr>
              <w:t xml:space="preserve"> – </w:t>
            </w:r>
            <w:r>
              <w:rPr>
                <w:rFonts w:ascii="Calibri Light" w:hAnsi="Calibri Light"/>
                <w:color w:val="595959"/>
                <w:sz w:val="20"/>
              </w:rPr>
              <w:t>Anne-Marie Baezner, General Manager of Lyon venues for the GL events Group.</w:t>
            </w:r>
          </w:p>
          <w:p w14:paraId="290D2332" w14:textId="5F2DC6B7" w:rsidR="00BE197D" w:rsidRPr="005871D2" w:rsidRDefault="00EE0D12" w:rsidP="00BE197D">
            <w:pPr>
              <w:pStyle w:val="Paragraphedeliste"/>
              <w:numPr>
                <w:ilvl w:val="0"/>
                <w:numId w:val="18"/>
              </w:numPr>
              <w:spacing w:before="240" w:after="0" w:line="240" w:lineRule="auto"/>
              <w:ind w:left="714" w:hanging="357"/>
              <w:contextualSpacing w:val="0"/>
              <w:jc w:val="both"/>
              <w:rPr>
                <w:rFonts w:ascii="Calibri Light" w:hAnsi="Calibri Light" w:cs="Calibri Light"/>
                <w:szCs w:val="20"/>
              </w:rPr>
            </w:pPr>
            <w:bookmarkStart w:id="2" w:name="_Hlk8816029"/>
            <w:r>
              <w:rPr>
                <w:rFonts w:ascii="Calibri Light" w:hAnsi="Calibri Light"/>
                <w:b/>
              </w:rPr>
              <w:lastRenderedPageBreak/>
              <w:t xml:space="preserve">Reinforcement of the overall offering and competitiveness of the four GL events </w:t>
            </w:r>
            <w:r w:rsidR="002B47EF">
              <w:rPr>
                <w:rFonts w:ascii="Calibri Light" w:hAnsi="Calibri Light"/>
                <w:b/>
              </w:rPr>
              <w:t>venues</w:t>
            </w:r>
            <w:r>
              <w:rPr>
                <w:rFonts w:ascii="Calibri Light" w:hAnsi="Calibri Light"/>
                <w:b/>
              </w:rPr>
              <w:t xml:space="preserve"> in 2018 </w:t>
            </w:r>
            <w:r>
              <w:rPr>
                <w:rFonts w:ascii="Calibri Light" w:hAnsi="Calibri Light"/>
              </w:rPr>
              <w:t>with several key milestones: the opening of Hall 7 at Eurexpo Lyon (16.5 M€ in investment), bringing the park’s total surface area to 140,000 </w:t>
            </w:r>
            <w:r w:rsidR="002B47EF">
              <w:rPr>
                <w:rFonts w:ascii="Calibri Light" w:hAnsi="Calibri Light"/>
              </w:rPr>
              <w:t>sqm</w:t>
            </w:r>
            <w:r>
              <w:rPr>
                <w:rFonts w:ascii="Calibri Light" w:hAnsi="Calibri Light"/>
              </w:rPr>
              <w:t>; a new Public Service Delegation for the Lyon Convention Cent</w:t>
            </w:r>
            <w:r w:rsidR="002B47EF">
              <w:rPr>
                <w:rFonts w:ascii="Calibri Light" w:hAnsi="Calibri Light"/>
              </w:rPr>
              <w:t>re</w:t>
            </w:r>
            <w:r>
              <w:rPr>
                <w:rFonts w:ascii="Calibri Light" w:hAnsi="Calibri Light"/>
              </w:rPr>
              <w:t xml:space="preserve"> with a 20-year commitment accompanied by a significant investment plan of nearly 23 M€; and investment of</w:t>
            </w:r>
            <w:r>
              <w:rPr>
                <w:rFonts w:asciiTheme="majorHAnsi" w:hAnsiTheme="majorHAnsi" w:cstheme="majorHAnsi"/>
              </w:rPr>
              <w:t xml:space="preserve"> 40 M€ in Matmut Stadium Lyon Gerland infrastructure in 2017 and 2018 providing a completely renovated space for event activity, including the creation of a dedicated sports and event department.</w:t>
            </w:r>
          </w:p>
          <w:bookmarkEnd w:id="2"/>
          <w:p w14:paraId="78D29FF4" w14:textId="670D912F" w:rsidR="00817487" w:rsidRPr="005871D2" w:rsidRDefault="00900233" w:rsidP="009E193E">
            <w:pPr>
              <w:pStyle w:val="Paragraphedeliste"/>
              <w:numPr>
                <w:ilvl w:val="0"/>
                <w:numId w:val="18"/>
              </w:numPr>
              <w:spacing w:before="120" w:after="0" w:line="240" w:lineRule="auto"/>
              <w:ind w:left="714" w:hanging="357"/>
              <w:contextualSpacing w:val="0"/>
              <w:jc w:val="both"/>
              <w:rPr>
                <w:rFonts w:ascii="Calibri Light" w:hAnsi="Calibri Light" w:cs="Calibri Light"/>
              </w:rPr>
            </w:pPr>
            <w:r>
              <w:rPr>
                <w:rFonts w:ascii="Calibri Light" w:hAnsi="Calibri Light"/>
                <w:b/>
              </w:rPr>
              <w:t>The cooperative action of Lyon business tourism stakeholders working together</w:t>
            </w:r>
            <w:r>
              <w:rPr>
                <w:rFonts w:ascii="Calibri Light" w:hAnsi="Calibri Light"/>
              </w:rPr>
              <w:t>, which gives events a much-appreciated personal touch: united around its OnlyLyon approach to boost international attractiveness, Lyon’s business tourism stakeholders, including the Trade Fair Bureau and GL events teams, introduced the Welcome program by OnlyLyon, a unique reception service in Europe for major events in Lyon.</w:t>
            </w:r>
          </w:p>
          <w:p w14:paraId="434F5BA3" w14:textId="41D9E562" w:rsidR="00D05C3A" w:rsidRPr="005871D2" w:rsidRDefault="00D05C3A" w:rsidP="009E193E">
            <w:pPr>
              <w:pStyle w:val="Paragraphedeliste"/>
              <w:numPr>
                <w:ilvl w:val="0"/>
                <w:numId w:val="18"/>
              </w:numPr>
              <w:spacing w:before="120" w:after="0" w:line="240" w:lineRule="auto"/>
              <w:ind w:left="714" w:hanging="357"/>
              <w:contextualSpacing w:val="0"/>
              <w:jc w:val="both"/>
              <w:rPr>
                <w:rFonts w:ascii="Calibri Light" w:hAnsi="Calibri Light" w:cs="Calibri Light"/>
              </w:rPr>
            </w:pPr>
            <w:r>
              <w:rPr>
                <w:rFonts w:ascii="Calibri Light" w:hAnsi="Calibri Light"/>
                <w:b/>
              </w:rPr>
              <w:t xml:space="preserve">Groupe GL events expertise </w:t>
            </w:r>
            <w:r>
              <w:rPr>
                <w:rFonts w:ascii="Calibri Light" w:hAnsi="Calibri Light"/>
              </w:rPr>
              <w:t xml:space="preserve">as a </w:t>
            </w:r>
            <w:r>
              <w:rPr>
                <w:rFonts w:ascii="Calibri Light" w:hAnsi="Calibri Light"/>
                <w:i/>
              </w:rPr>
              <w:t>global player</w:t>
            </w:r>
            <w:r>
              <w:rPr>
                <w:rFonts w:ascii="Calibri Light" w:hAnsi="Calibri Light"/>
              </w:rPr>
              <w:t xml:space="preserve"> in the event market. </w:t>
            </w:r>
            <w:proofErr w:type="gramStart"/>
            <w:r>
              <w:rPr>
                <w:rFonts w:ascii="Calibri Light" w:hAnsi="Calibri Light"/>
              </w:rPr>
              <w:t>In particular, new</w:t>
            </w:r>
            <w:proofErr w:type="gramEnd"/>
            <w:r>
              <w:rPr>
                <w:rFonts w:ascii="Calibri Light" w:hAnsi="Calibri Light"/>
              </w:rPr>
              <w:t xml:space="preserve"> opportunities were confirmed, notably with the Group’s network of offices abroad (London, New York, Shanghai), enabling more events to be organized at the Lyon </w:t>
            </w:r>
            <w:r w:rsidR="002B47EF">
              <w:rPr>
                <w:rFonts w:ascii="Calibri Light" w:hAnsi="Calibri Light"/>
              </w:rPr>
              <w:t>venues</w:t>
            </w:r>
            <w:r>
              <w:rPr>
                <w:rFonts w:ascii="Calibri Light" w:hAnsi="Calibri Light"/>
              </w:rPr>
              <w:t>.</w:t>
            </w:r>
          </w:p>
        </w:tc>
      </w:tr>
      <w:tr w:rsidR="00D05C3A" w:rsidRPr="005871D2" w14:paraId="345B399D" w14:textId="77777777" w:rsidTr="00B936CD">
        <w:trPr>
          <w:trHeight w:val="245"/>
          <w:jc w:val="center"/>
        </w:trPr>
        <w:tc>
          <w:tcPr>
            <w:tcW w:w="10212" w:type="dxa"/>
            <w:gridSpan w:val="3"/>
            <w:shd w:val="clear" w:color="auto" w:fill="auto"/>
          </w:tcPr>
          <w:p w14:paraId="5A77789E" w14:textId="77777777" w:rsidR="00D05C3A" w:rsidRPr="005871D2" w:rsidRDefault="00D05C3A" w:rsidP="009E193E">
            <w:pPr>
              <w:spacing w:after="0" w:line="240" w:lineRule="auto"/>
              <w:rPr>
                <w:rFonts w:ascii="Calibri Light" w:hAnsi="Calibri Light" w:cs="Calibri Light"/>
                <w:sz w:val="16"/>
              </w:rPr>
            </w:pPr>
          </w:p>
        </w:tc>
      </w:tr>
      <w:tr w:rsidR="00D30203" w:rsidRPr="005871D2" w14:paraId="13797DC7" w14:textId="77777777" w:rsidTr="00B936CD">
        <w:trPr>
          <w:jc w:val="center"/>
        </w:trPr>
        <w:tc>
          <w:tcPr>
            <w:tcW w:w="10212" w:type="dxa"/>
            <w:gridSpan w:val="3"/>
            <w:shd w:val="clear" w:color="auto" w:fill="auto"/>
          </w:tcPr>
          <w:p w14:paraId="2ABE0B50" w14:textId="54B53149" w:rsidR="00D30203" w:rsidRPr="005871D2" w:rsidRDefault="00D30203" w:rsidP="009E193E">
            <w:pPr>
              <w:spacing w:before="120" w:after="0" w:line="240" w:lineRule="auto"/>
              <w:rPr>
                <w:rFonts w:ascii="Calibri Light" w:eastAsia="Times New Roman" w:hAnsi="Calibri Light" w:cs="Calibri Light"/>
                <w:b/>
                <w:color w:val="000000"/>
                <w:sz w:val="18"/>
              </w:rPr>
            </w:pPr>
            <w:r>
              <w:rPr>
                <w:rFonts w:ascii="Calibri Light" w:hAnsi="Calibri Light"/>
                <w:b/>
                <w:color w:val="000000"/>
                <w:sz w:val="28"/>
              </w:rPr>
              <w:t>A favorable outlook for 2019</w:t>
            </w:r>
            <w:r>
              <w:rPr>
                <w:rFonts w:ascii="Calibri Light" w:hAnsi="Calibri Light"/>
                <w:sz w:val="16"/>
              </w:rPr>
              <w:t xml:space="preserve"> </w:t>
            </w:r>
            <w:r>
              <w:rPr>
                <w:rFonts w:ascii="Calibri Light" w:hAnsi="Calibri Light"/>
                <w:b/>
                <w:color w:val="000000"/>
                <w:sz w:val="28"/>
              </w:rPr>
              <w:t>and coming years, ready to welcome major national and international</w:t>
            </w:r>
            <w:r w:rsidR="008A6414">
              <w:rPr>
                <w:rFonts w:ascii="Calibri Light" w:hAnsi="Calibri Light"/>
                <w:b/>
                <w:color w:val="000000"/>
                <w:sz w:val="28"/>
              </w:rPr>
              <w:t xml:space="preserve"> </w:t>
            </w:r>
            <w:r>
              <w:rPr>
                <w:rFonts w:ascii="Calibri Light" w:hAnsi="Calibri Light"/>
                <w:b/>
                <w:color w:val="000000"/>
                <w:sz w:val="28"/>
              </w:rPr>
              <w:t>scale events</w:t>
            </w:r>
            <w:r>
              <w:rPr>
                <w:rFonts w:ascii="Calibri Light" w:eastAsia="Times New Roman" w:hAnsi="Calibri Light" w:cs="Calibri Light"/>
                <w:b/>
                <w:color w:val="000000"/>
                <w:sz w:val="28"/>
              </w:rPr>
              <w:br/>
            </w:r>
          </w:p>
          <w:p w14:paraId="3091C72B" w14:textId="53A8B0A3" w:rsidR="00D30203" w:rsidRPr="005871D2" w:rsidRDefault="0027249F" w:rsidP="009E193E">
            <w:pPr>
              <w:spacing w:after="0" w:line="240" w:lineRule="auto"/>
              <w:jc w:val="both"/>
              <w:rPr>
                <w:rFonts w:ascii="Calibri Light" w:hAnsi="Calibri Light" w:cs="Calibri Light"/>
                <w:szCs w:val="20"/>
              </w:rPr>
            </w:pPr>
            <w:r>
              <w:rPr>
                <w:rFonts w:ascii="Calibri Light" w:hAnsi="Calibri Light"/>
              </w:rPr>
              <w:t xml:space="preserve">2019 will feature major high-profile events, including </w:t>
            </w:r>
            <w:r>
              <w:rPr>
                <w:rFonts w:ascii="Calibri Light" w:hAnsi="Calibri Light"/>
                <w:b/>
              </w:rPr>
              <w:t>78 trade fairs and 45 conferences</w:t>
            </w:r>
            <w:r>
              <w:rPr>
                <w:rFonts w:ascii="Calibri Light" w:hAnsi="Calibri Light"/>
              </w:rPr>
              <w:t xml:space="preserve">, further supporting forecasts for a very favorable 3-year outlook: </w:t>
            </w:r>
          </w:p>
          <w:p w14:paraId="686EB75B" w14:textId="348EA256" w:rsidR="00A8558E" w:rsidRPr="005871D2" w:rsidRDefault="003D6BD0" w:rsidP="00130449">
            <w:pPr>
              <w:pStyle w:val="Paragraphedeliste"/>
              <w:numPr>
                <w:ilvl w:val="0"/>
                <w:numId w:val="20"/>
              </w:numPr>
              <w:spacing w:before="120" w:after="0" w:line="240" w:lineRule="auto"/>
              <w:contextualSpacing w:val="0"/>
              <w:jc w:val="both"/>
              <w:rPr>
                <w:rFonts w:eastAsia="Times New Roman"/>
              </w:rPr>
            </w:pPr>
            <w:bookmarkStart w:id="3" w:name="_Hlk8815538"/>
            <w:r>
              <w:rPr>
                <w:rFonts w:ascii="Calibri Light" w:hAnsi="Calibri Light"/>
                <w:b/>
              </w:rPr>
              <w:t xml:space="preserve">Major trade fairs </w:t>
            </w:r>
            <w:r>
              <w:rPr>
                <w:rFonts w:ascii="Calibri Light" w:hAnsi="Calibri Light"/>
              </w:rPr>
              <w:t xml:space="preserve">at Eurexpo Lyon, already starting the year strongly with SIRHA and the Global Industries conference, both of which showed record attendance with over 210,000 and 45,000 visitors respectively.  </w:t>
            </w:r>
            <w:bookmarkEnd w:id="3"/>
            <w:r>
              <w:rPr>
                <w:rFonts w:ascii="Calibri Light" w:hAnsi="Calibri Light"/>
              </w:rPr>
              <w:t>The site will keep up its pace with the Lyon Automobile Show, Equita Lyon, Solutrans, Paysalia, as well as Patrimonia at the Lyon Convention Cent</w:t>
            </w:r>
            <w:r w:rsidR="002B47EF">
              <w:rPr>
                <w:rFonts w:ascii="Calibri Light" w:hAnsi="Calibri Light"/>
              </w:rPr>
              <w:t>re</w:t>
            </w:r>
            <w:r>
              <w:rPr>
                <w:rFonts w:ascii="Calibri Light" w:hAnsi="Calibri Light"/>
              </w:rPr>
              <w:t xml:space="preserve">, an annual national event that attracts nearly 7,000 visitors. </w:t>
            </w:r>
          </w:p>
          <w:p w14:paraId="05BAAB8C" w14:textId="18EA712B" w:rsidR="00D05C3A" w:rsidRPr="005871D2" w:rsidRDefault="003D6BD0" w:rsidP="00A8558E">
            <w:pPr>
              <w:pStyle w:val="Paragraphedeliste"/>
              <w:numPr>
                <w:ilvl w:val="0"/>
                <w:numId w:val="20"/>
              </w:numPr>
              <w:spacing w:before="120" w:after="0" w:line="240" w:lineRule="auto"/>
              <w:contextualSpacing w:val="0"/>
              <w:jc w:val="both"/>
              <w:rPr>
                <w:rFonts w:ascii="Calibri Light" w:hAnsi="Calibri Light" w:cs="Calibri Light"/>
                <w:szCs w:val="20"/>
              </w:rPr>
            </w:pPr>
            <w:r>
              <w:rPr>
                <w:rFonts w:ascii="Calibri Light" w:hAnsi="Calibri Light"/>
                <w:b/>
              </w:rPr>
              <w:t xml:space="preserve">Major conferences </w:t>
            </w:r>
            <w:r>
              <w:rPr>
                <w:rFonts w:ascii="Calibri Light" w:hAnsi="Calibri Light"/>
              </w:rPr>
              <w:t>such as ECE 2019 in May (European Congress of Endocrinology), SIOP in October (International Society of Paediatric Oncology), and WAO in December (World Allergy Organization), at the Lyon Convention Cent</w:t>
            </w:r>
            <w:r w:rsidR="002B47EF">
              <w:rPr>
                <w:rFonts w:ascii="Calibri Light" w:hAnsi="Calibri Light"/>
              </w:rPr>
              <w:t>re</w:t>
            </w:r>
            <w:r>
              <w:rPr>
                <w:rFonts w:ascii="Calibri Light" w:hAnsi="Calibri Light"/>
              </w:rPr>
              <w:t xml:space="preserve">; and EVS32 (International Electric Vehicle Symposium) with over 5,000 participants. </w:t>
            </w:r>
          </w:p>
          <w:p w14:paraId="45EBD43F" w14:textId="473E566B" w:rsidR="00900233" w:rsidRPr="005871D2" w:rsidRDefault="003D6BD0" w:rsidP="00A8558E">
            <w:pPr>
              <w:pStyle w:val="Paragraphedeliste"/>
              <w:numPr>
                <w:ilvl w:val="0"/>
                <w:numId w:val="20"/>
              </w:numPr>
              <w:spacing w:before="120" w:after="0" w:line="240" w:lineRule="auto"/>
              <w:contextualSpacing w:val="0"/>
              <w:jc w:val="both"/>
              <w:rPr>
                <w:rFonts w:ascii="Calibri Light" w:hAnsi="Calibri Light" w:cs="Calibri Light"/>
                <w:b/>
                <w:szCs w:val="20"/>
              </w:rPr>
            </w:pPr>
            <w:r>
              <w:rPr>
                <w:rFonts w:ascii="Calibri Light" w:hAnsi="Calibri Light"/>
                <w:b/>
              </w:rPr>
              <w:t xml:space="preserve">Major events </w:t>
            </w:r>
            <w:r>
              <w:rPr>
                <w:rFonts w:ascii="Calibri Light" w:hAnsi="Calibri Light"/>
              </w:rPr>
              <w:t xml:space="preserve">such as Tour Auto and the new Sport Unlimitech event, led by Frédérick Michalak in co-production with GL events, bringing together science and innovation in the sports world for the first time, covering nearly 30,000 </w:t>
            </w:r>
            <w:r w:rsidR="002B47EF">
              <w:rPr>
                <w:rFonts w:ascii="Calibri Light" w:hAnsi="Calibri Light"/>
              </w:rPr>
              <w:t>sqm</w:t>
            </w:r>
            <w:r>
              <w:rPr>
                <w:rFonts w:ascii="Calibri Light" w:hAnsi="Calibri Light"/>
              </w:rPr>
              <w:t xml:space="preserve"> at Matmut Stadium Lyon Gerland in September; as well as prestigious national exhibitions at La Sucrière, such as the Steve McCurry exhibition, which has already welcomed over 100,000 visitors and has been extended until July 21, 2019.</w:t>
            </w:r>
          </w:p>
          <w:p w14:paraId="223EF440" w14:textId="77777777" w:rsidR="00661714" w:rsidRPr="005871D2" w:rsidRDefault="00661714" w:rsidP="00661714">
            <w:pPr>
              <w:pStyle w:val="Paragraphedeliste"/>
              <w:spacing w:before="120" w:after="0" w:line="240" w:lineRule="auto"/>
              <w:contextualSpacing w:val="0"/>
              <w:jc w:val="both"/>
              <w:rPr>
                <w:rFonts w:ascii="Calibri Light" w:hAnsi="Calibri Light" w:cs="Calibri Light"/>
                <w:b/>
                <w:sz w:val="8"/>
                <w:szCs w:val="20"/>
              </w:rPr>
            </w:pPr>
          </w:p>
          <w:p w14:paraId="7EC4D439" w14:textId="2510540B" w:rsidR="00661714" w:rsidRPr="005871D2" w:rsidRDefault="006078A8" w:rsidP="000F2A99">
            <w:pPr>
              <w:spacing w:before="120" w:after="0" w:line="240" w:lineRule="auto"/>
              <w:jc w:val="both"/>
              <w:rPr>
                <w:rFonts w:ascii="Calibri Light" w:hAnsi="Calibri Light" w:cs="Calibri Light"/>
                <w:szCs w:val="20"/>
              </w:rPr>
            </w:pPr>
            <w:r>
              <w:rPr>
                <w:rFonts w:ascii="Calibri Light" w:hAnsi="Calibri Light"/>
                <w:b/>
              </w:rPr>
              <w:t>Beyond 2019</w:t>
            </w:r>
            <w:r>
              <w:rPr>
                <w:rFonts w:ascii="Calibri Light" w:hAnsi="Calibri Light"/>
              </w:rPr>
              <w:t>, the Lyon Convention Cent</w:t>
            </w:r>
            <w:r w:rsidR="002B47EF">
              <w:rPr>
                <w:rFonts w:ascii="Calibri Light" w:hAnsi="Calibri Light"/>
              </w:rPr>
              <w:t>re</w:t>
            </w:r>
            <w:r>
              <w:rPr>
                <w:rFonts w:ascii="Calibri Light" w:hAnsi="Calibri Light"/>
              </w:rPr>
              <w:t xml:space="preserve"> will welcome the Goldschmidt International Conference </w:t>
            </w:r>
            <w:r>
              <w:rPr>
                <w:rFonts w:ascii="Calibri Light" w:hAnsi="Calibri Light"/>
                <w:b/>
              </w:rPr>
              <w:t>in 2021</w:t>
            </w:r>
            <w:r>
              <w:rPr>
                <w:rFonts w:ascii="Calibri Light" w:hAnsi="Calibri Light"/>
              </w:rPr>
              <w:t xml:space="preserve">, with over 4,500 participants expected from 85 countries. With its Eurexpo Lyon exhibition park, Lyon was also chosen to represent France’s candidacy – facing Japan – to host the WorldSkills Competition in </w:t>
            </w:r>
            <w:r>
              <w:rPr>
                <w:rFonts w:ascii="Calibri Light" w:hAnsi="Calibri Light"/>
                <w:b/>
              </w:rPr>
              <w:t>September 2023</w:t>
            </w:r>
            <w:r>
              <w:rPr>
                <w:rFonts w:ascii="Calibri Light" w:hAnsi="Calibri Light"/>
              </w:rPr>
              <w:t>. This event is the world’s largest competition of skills, attracting 1,200 young people under age 23 from 80 different countries (over 100,000 visitors expected).</w:t>
            </w:r>
          </w:p>
          <w:p w14:paraId="591B9D97" w14:textId="642CFD43" w:rsidR="00661714" w:rsidRPr="005871D2" w:rsidRDefault="00661714" w:rsidP="000F2A99">
            <w:pPr>
              <w:spacing w:before="120" w:after="0" w:line="240" w:lineRule="auto"/>
              <w:jc w:val="both"/>
              <w:rPr>
                <w:rFonts w:ascii="Calibri Light" w:hAnsi="Calibri Light" w:cs="Calibri Light"/>
                <w:sz w:val="6"/>
                <w:szCs w:val="20"/>
              </w:rPr>
            </w:pPr>
          </w:p>
        </w:tc>
      </w:tr>
      <w:tr w:rsidR="00D30203" w:rsidRPr="005871D2" w14:paraId="0A8AB046" w14:textId="77777777" w:rsidTr="0024073D">
        <w:trPr>
          <w:jc w:val="center"/>
        </w:trPr>
        <w:tc>
          <w:tcPr>
            <w:tcW w:w="10212" w:type="dxa"/>
            <w:gridSpan w:val="3"/>
            <w:tcBorders>
              <w:bottom w:val="single" w:sz="4" w:space="0" w:color="00616E"/>
            </w:tcBorders>
            <w:shd w:val="clear" w:color="auto" w:fill="auto"/>
          </w:tcPr>
          <w:p w14:paraId="36DAFF8E" w14:textId="77777777" w:rsidR="00D30203" w:rsidRPr="005871D2" w:rsidRDefault="00D30203" w:rsidP="009E193E">
            <w:pPr>
              <w:spacing w:after="0" w:line="240" w:lineRule="auto"/>
              <w:rPr>
                <w:rFonts w:ascii="Calibri Light" w:hAnsi="Calibri Light" w:cs="Calibri Light"/>
                <w:b/>
                <w:color w:val="00616E"/>
                <w:sz w:val="14"/>
              </w:rPr>
            </w:pPr>
          </w:p>
        </w:tc>
      </w:tr>
      <w:tr w:rsidR="00D30203" w:rsidRPr="005871D2" w14:paraId="15C4386E" w14:textId="77777777" w:rsidTr="0024073D">
        <w:trPr>
          <w:jc w:val="center"/>
        </w:trPr>
        <w:tc>
          <w:tcPr>
            <w:tcW w:w="10212" w:type="dxa"/>
            <w:gridSpan w:val="3"/>
            <w:tcBorders>
              <w:top w:val="single" w:sz="4" w:space="0" w:color="00616E"/>
              <w:bottom w:val="single" w:sz="6" w:space="0" w:color="00616E"/>
            </w:tcBorders>
            <w:shd w:val="clear" w:color="auto" w:fill="auto"/>
          </w:tcPr>
          <w:p w14:paraId="05991E10" w14:textId="77777777" w:rsidR="00D30203" w:rsidRPr="005871D2" w:rsidRDefault="00D30203" w:rsidP="0024073D">
            <w:pPr>
              <w:spacing w:after="0" w:line="240" w:lineRule="auto"/>
              <w:rPr>
                <w:rFonts w:ascii="Calibri Light" w:hAnsi="Calibri Light" w:cs="Calibri Light"/>
                <w:b/>
                <w:color w:val="00616E"/>
                <w:sz w:val="14"/>
              </w:rPr>
            </w:pPr>
          </w:p>
          <w:p w14:paraId="0204C935" w14:textId="77777777" w:rsidR="00D30203" w:rsidRPr="005871D2" w:rsidRDefault="00D30203" w:rsidP="0024073D">
            <w:pPr>
              <w:spacing w:after="0" w:line="240" w:lineRule="auto"/>
              <w:jc w:val="center"/>
              <w:rPr>
                <w:rFonts w:ascii="Calibri Light" w:hAnsi="Calibri Light" w:cs="Calibri Light"/>
                <w:noProof/>
                <w:sz w:val="21"/>
                <w:szCs w:val="21"/>
              </w:rPr>
            </w:pPr>
            <w:r>
              <w:rPr>
                <w:rFonts w:ascii="Calibri Light" w:hAnsi="Calibri Light"/>
                <w:b/>
                <w:color w:val="00616E"/>
              </w:rPr>
              <w:t xml:space="preserve">PRESS CONTACT - </w:t>
            </w:r>
            <w:r>
              <w:rPr>
                <w:rFonts w:ascii="Calibri Light" w:hAnsi="Calibri Light"/>
                <w:b/>
                <w:color w:val="00616E"/>
                <w:sz w:val="21"/>
              </w:rPr>
              <w:t>Amalthea</w:t>
            </w:r>
            <w:r>
              <w:rPr>
                <w:rFonts w:ascii="Calibri Light" w:hAnsi="Calibri Light"/>
                <w:sz w:val="21"/>
              </w:rPr>
              <w:t>: Fabienne Boccard –</w:t>
            </w:r>
            <w:r>
              <w:rPr>
                <w:rStyle w:val="Lienhypertexte"/>
                <w:rFonts w:ascii="Calibri Light" w:hAnsi="Calibri Light"/>
              </w:rPr>
              <w:t xml:space="preserve"> </w:t>
            </w:r>
            <w:hyperlink r:id="rId17">
              <w:r>
                <w:rPr>
                  <w:rStyle w:val="Lienhypertexte"/>
                  <w:rFonts w:ascii="Calibri Light" w:hAnsi="Calibri Light"/>
                  <w:noProof/>
                  <w:sz w:val="21"/>
                </w:rPr>
                <w:t>fboccard@amalthea.fr</w:t>
              </w:r>
            </w:hyperlink>
            <w:r>
              <w:rPr>
                <w:rFonts w:ascii="Calibri Light" w:hAnsi="Calibri Light"/>
                <w:noProof/>
                <w:sz w:val="21"/>
              </w:rPr>
              <w:t xml:space="preserve"> – +33 4 26 78 27 14</w:t>
            </w:r>
          </w:p>
          <w:p w14:paraId="7EFEF32E" w14:textId="5073B572" w:rsidR="00661714" w:rsidRPr="005871D2" w:rsidRDefault="00661714" w:rsidP="0024073D">
            <w:pPr>
              <w:spacing w:after="0" w:line="240" w:lineRule="auto"/>
              <w:jc w:val="center"/>
              <w:rPr>
                <w:rFonts w:ascii="Calibri Light" w:hAnsi="Calibri Light" w:cs="Calibri Light"/>
                <w:noProof/>
                <w:sz w:val="12"/>
                <w:szCs w:val="21"/>
              </w:rPr>
            </w:pPr>
          </w:p>
        </w:tc>
      </w:tr>
      <w:tr w:rsidR="00D30203" w:rsidRPr="009E193E" w14:paraId="32EF14CA" w14:textId="77777777" w:rsidTr="0024073D">
        <w:trPr>
          <w:jc w:val="center"/>
        </w:trPr>
        <w:tc>
          <w:tcPr>
            <w:tcW w:w="10212" w:type="dxa"/>
            <w:gridSpan w:val="3"/>
            <w:tcBorders>
              <w:top w:val="single" w:sz="6" w:space="0" w:color="00616E"/>
            </w:tcBorders>
            <w:shd w:val="clear" w:color="auto" w:fill="auto"/>
          </w:tcPr>
          <w:p w14:paraId="18B9AA81" w14:textId="77777777" w:rsidR="00661714" w:rsidRPr="005871D2" w:rsidRDefault="00661714" w:rsidP="00661714">
            <w:pPr>
              <w:autoSpaceDE w:val="0"/>
              <w:autoSpaceDN w:val="0"/>
              <w:adjustRightInd w:val="0"/>
              <w:spacing w:after="0" w:line="240" w:lineRule="auto"/>
              <w:jc w:val="center"/>
              <w:rPr>
                <w:rFonts w:ascii="Calibri Light" w:hAnsi="Calibri Light" w:cs="Calibri Light"/>
                <w:b/>
                <w:bCs/>
                <w:color w:val="00616E"/>
                <w:sz w:val="18"/>
                <w:szCs w:val="18"/>
              </w:rPr>
            </w:pPr>
          </w:p>
          <w:p w14:paraId="461ECF10" w14:textId="69EB1D58" w:rsidR="0072528C" w:rsidRPr="005871D2" w:rsidRDefault="00661714" w:rsidP="00661714">
            <w:pPr>
              <w:autoSpaceDE w:val="0"/>
              <w:autoSpaceDN w:val="0"/>
              <w:adjustRightInd w:val="0"/>
              <w:spacing w:after="0" w:line="240" w:lineRule="auto"/>
              <w:jc w:val="center"/>
              <w:rPr>
                <w:rFonts w:ascii="Calibri Light" w:hAnsi="Calibri Light" w:cs="Calibri Light"/>
                <w:b/>
                <w:bCs/>
                <w:color w:val="00616E"/>
                <w:sz w:val="18"/>
                <w:szCs w:val="18"/>
              </w:rPr>
            </w:pPr>
            <w:r>
              <w:rPr>
                <w:noProof/>
              </w:rPr>
              <w:drawing>
                <wp:inline distT="0" distB="0" distL="0" distR="0" wp14:anchorId="5338FC41" wp14:editId="72967C8B">
                  <wp:extent cx="419100" cy="409575"/>
                  <wp:effectExtent l="0" t="0" r="0" b="9525"/>
                  <wp:docPr id="11" name="Image 11" descr="Image associÃ©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Image associÃ©e">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1898" t="38340" r="40711" b="44664"/>
                          <a:stretch/>
                        </pic:blipFill>
                        <pic:spPr bwMode="auto">
                          <a:xfrm>
                            <a:off x="0" y="0"/>
                            <a:ext cx="419100" cy="40957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622BC82" wp14:editId="1234D490">
                  <wp:extent cx="381000" cy="381000"/>
                  <wp:effectExtent l="0" t="0" r="0" b="0"/>
                  <wp:docPr id="13" name="Image 13" descr="Image associÃ©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Image associÃ©e">
                            <a:hlinkClick r:id="rId20"/>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9684" t="56916" r="24506" b="27273"/>
                          <a:stretch/>
                        </pic:blipFill>
                        <pic:spPr bwMode="auto">
                          <a:xfrm>
                            <a:off x="0" y="0"/>
                            <a:ext cx="381000" cy="381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BD1B891" wp14:editId="0FCB6544">
                  <wp:extent cx="400050" cy="390525"/>
                  <wp:effectExtent l="0" t="0" r="0" b="9525"/>
                  <wp:docPr id="16" name="Image 16" descr="Image associÃ©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Image associÃ©e">
                            <a:hlinkClick r:id="rId21"/>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716" t="38736" r="59684" b="45059"/>
                          <a:stretch/>
                        </pic:blipFill>
                        <pic:spPr bwMode="auto">
                          <a:xfrm>
                            <a:off x="0" y="0"/>
                            <a:ext cx="400050" cy="390525"/>
                          </a:xfrm>
                          <a:prstGeom prst="rect">
                            <a:avLst/>
                          </a:prstGeom>
                          <a:noFill/>
                          <a:ln>
                            <a:noFill/>
                          </a:ln>
                          <a:extLst>
                            <a:ext uri="{53640926-AAD7-44D8-BBD7-CCE9431645EC}">
                              <a14:shadowObscured xmlns:a14="http://schemas.microsoft.com/office/drawing/2010/main"/>
                            </a:ext>
                          </a:extLst>
                        </pic:spPr>
                      </pic:pic>
                    </a:graphicData>
                  </a:graphic>
                </wp:inline>
              </w:drawing>
            </w:r>
          </w:p>
          <w:p w14:paraId="4540C446" w14:textId="77777777" w:rsidR="0072528C" w:rsidRPr="005871D2" w:rsidRDefault="0072528C" w:rsidP="009E193E">
            <w:pPr>
              <w:autoSpaceDE w:val="0"/>
              <w:autoSpaceDN w:val="0"/>
              <w:adjustRightInd w:val="0"/>
              <w:spacing w:after="0" w:line="240" w:lineRule="auto"/>
              <w:jc w:val="both"/>
              <w:rPr>
                <w:rFonts w:ascii="Calibri Light" w:hAnsi="Calibri Light" w:cs="Calibri Light"/>
                <w:b/>
                <w:bCs/>
                <w:color w:val="00616E"/>
                <w:sz w:val="18"/>
                <w:szCs w:val="18"/>
              </w:rPr>
            </w:pPr>
          </w:p>
          <w:p w14:paraId="06D19D16" w14:textId="6C2E35F5" w:rsidR="00D30203" w:rsidRPr="005871D2" w:rsidRDefault="00D30203" w:rsidP="009E193E">
            <w:pPr>
              <w:autoSpaceDE w:val="0"/>
              <w:autoSpaceDN w:val="0"/>
              <w:adjustRightInd w:val="0"/>
              <w:spacing w:after="0" w:line="240" w:lineRule="auto"/>
              <w:jc w:val="both"/>
              <w:rPr>
                <w:rFonts w:ascii="Calibri Light" w:hAnsi="Calibri Light" w:cs="Calibri Light"/>
                <w:b/>
                <w:bCs/>
                <w:color w:val="00616E"/>
                <w:sz w:val="18"/>
                <w:szCs w:val="18"/>
              </w:rPr>
            </w:pPr>
            <w:r>
              <w:rPr>
                <w:rFonts w:ascii="Calibri Light" w:hAnsi="Calibri Light"/>
                <w:b/>
                <w:color w:val="00616E"/>
                <w:sz w:val="18"/>
              </w:rPr>
              <w:t xml:space="preserve">About Lyon for events - </w:t>
            </w:r>
            <w:r>
              <w:rPr>
                <w:rStyle w:val="Lienhypertexte"/>
                <w:rFonts w:asciiTheme="majorHAnsi" w:hAnsiTheme="majorHAnsi" w:cstheme="majorHAnsi"/>
                <w:sz w:val="18"/>
              </w:rPr>
              <w:t>www.lyonforevents.com</w:t>
            </w:r>
          </w:p>
          <w:p w14:paraId="32840CD1" w14:textId="3F6C51CE" w:rsidR="00D30203" w:rsidRPr="005871D2" w:rsidRDefault="00D30203" w:rsidP="009E193E">
            <w:pPr>
              <w:autoSpaceDE w:val="0"/>
              <w:autoSpaceDN w:val="0"/>
              <w:adjustRightInd w:val="0"/>
              <w:spacing w:after="0" w:line="240" w:lineRule="auto"/>
              <w:jc w:val="both"/>
              <w:rPr>
                <w:rFonts w:ascii="Calibri Light" w:hAnsi="Calibri Light" w:cs="Calibri Light"/>
                <w:color w:val="000000"/>
                <w:sz w:val="18"/>
                <w:szCs w:val="18"/>
              </w:rPr>
            </w:pPr>
            <w:r>
              <w:rPr>
                <w:rFonts w:ascii="Calibri Light" w:hAnsi="Calibri Light"/>
                <w:color w:val="000000"/>
                <w:sz w:val="18"/>
              </w:rPr>
              <w:t>The Lyon for events banner unites the four GL events group venues in Lyon: Lyon Convention Cent</w:t>
            </w:r>
            <w:r w:rsidR="002B47EF">
              <w:rPr>
                <w:rFonts w:ascii="Calibri Light" w:hAnsi="Calibri Light"/>
                <w:color w:val="000000"/>
                <w:sz w:val="18"/>
              </w:rPr>
              <w:t>re</w:t>
            </w:r>
            <w:r>
              <w:rPr>
                <w:rFonts w:ascii="Calibri Light" w:hAnsi="Calibri Light"/>
                <w:color w:val="000000"/>
                <w:sz w:val="18"/>
              </w:rPr>
              <w:t xml:space="preserve">, </w:t>
            </w:r>
            <w:proofErr w:type="spellStart"/>
            <w:r>
              <w:rPr>
                <w:rFonts w:ascii="Calibri Light" w:hAnsi="Calibri Light"/>
                <w:color w:val="000000"/>
                <w:sz w:val="18"/>
              </w:rPr>
              <w:t>Eurexpo</w:t>
            </w:r>
            <w:proofErr w:type="spellEnd"/>
            <w:r>
              <w:rPr>
                <w:rFonts w:ascii="Calibri Light" w:hAnsi="Calibri Light"/>
                <w:color w:val="000000"/>
                <w:sz w:val="18"/>
              </w:rPr>
              <w:t xml:space="preserve"> Lyon, La </w:t>
            </w:r>
            <w:proofErr w:type="spellStart"/>
            <w:r>
              <w:rPr>
                <w:rFonts w:ascii="Calibri Light" w:hAnsi="Calibri Light"/>
                <w:color w:val="000000"/>
                <w:sz w:val="18"/>
              </w:rPr>
              <w:t>Sucrière</w:t>
            </w:r>
            <w:proofErr w:type="spellEnd"/>
            <w:r>
              <w:rPr>
                <w:rFonts w:ascii="Calibri Light" w:hAnsi="Calibri Light"/>
                <w:color w:val="000000"/>
                <w:sz w:val="18"/>
              </w:rPr>
              <w:t xml:space="preserve">, and Matmut Stadium Lyon Gerland. With 170,000 </w:t>
            </w:r>
            <w:r w:rsidR="002B47EF">
              <w:rPr>
                <w:rFonts w:ascii="Calibri Light" w:hAnsi="Calibri Light"/>
                <w:color w:val="000000"/>
                <w:sz w:val="18"/>
              </w:rPr>
              <w:t>sqm</w:t>
            </w:r>
            <w:r>
              <w:rPr>
                <w:rFonts w:ascii="Calibri Light" w:hAnsi="Calibri Light"/>
                <w:color w:val="000000"/>
                <w:sz w:val="18"/>
              </w:rPr>
              <w:t xml:space="preserve"> of modular interior space, an average of 600 events hosted each year, 1.8 million visitors/participants, and revenue of 54.3 M€ in 2018, Lyon for events </w:t>
            </w:r>
            <w:r w:rsidR="002B47EF">
              <w:rPr>
                <w:rFonts w:ascii="Calibri Light" w:hAnsi="Calibri Light"/>
                <w:color w:val="000000"/>
                <w:sz w:val="18"/>
              </w:rPr>
              <w:t>venues</w:t>
            </w:r>
            <w:r>
              <w:rPr>
                <w:rFonts w:ascii="Calibri Light" w:hAnsi="Calibri Light"/>
                <w:color w:val="000000"/>
                <w:sz w:val="18"/>
              </w:rPr>
              <w:t xml:space="preserve"> help make Lyon the second-largest business tourism destination in France. In addition, all GL events </w:t>
            </w:r>
            <w:r w:rsidR="002B47EF">
              <w:rPr>
                <w:rFonts w:ascii="Calibri Light" w:hAnsi="Calibri Light"/>
                <w:color w:val="000000"/>
                <w:sz w:val="18"/>
              </w:rPr>
              <w:t>venues</w:t>
            </w:r>
            <w:r>
              <w:rPr>
                <w:rFonts w:ascii="Calibri Light" w:hAnsi="Calibri Light"/>
                <w:color w:val="000000"/>
                <w:sz w:val="18"/>
              </w:rPr>
              <w:t xml:space="preserve"> in France share a sustainable development approach: Eurexpo Lyon and the Lyon Convention Cent</w:t>
            </w:r>
            <w:r w:rsidR="002B47EF">
              <w:rPr>
                <w:rFonts w:ascii="Calibri Light" w:hAnsi="Calibri Light"/>
                <w:color w:val="000000"/>
                <w:sz w:val="18"/>
              </w:rPr>
              <w:t>re</w:t>
            </w:r>
            <w:r>
              <w:rPr>
                <w:rFonts w:ascii="Calibri Light" w:hAnsi="Calibri Light"/>
                <w:color w:val="000000"/>
                <w:sz w:val="18"/>
              </w:rPr>
              <w:t xml:space="preserve"> are certified ISO 14001 and are preparing ISO 20121 certification. </w:t>
            </w:r>
          </w:p>
          <w:p w14:paraId="596491CB" w14:textId="77777777" w:rsidR="00E34321" w:rsidRPr="005871D2" w:rsidRDefault="00E34321" w:rsidP="009E193E">
            <w:pPr>
              <w:autoSpaceDE w:val="0"/>
              <w:autoSpaceDN w:val="0"/>
              <w:adjustRightInd w:val="0"/>
              <w:spacing w:after="0" w:line="240" w:lineRule="auto"/>
              <w:jc w:val="both"/>
              <w:rPr>
                <w:rFonts w:ascii="Calibri Light" w:hAnsi="Calibri Light" w:cs="Calibri Light"/>
                <w:color w:val="0000FF"/>
                <w:sz w:val="18"/>
                <w:szCs w:val="18"/>
              </w:rPr>
            </w:pPr>
          </w:p>
          <w:p w14:paraId="0EEC6DC5" w14:textId="77777777" w:rsidR="00D30203" w:rsidRPr="005871D2" w:rsidRDefault="00D30203" w:rsidP="009E193E">
            <w:pPr>
              <w:autoSpaceDE w:val="0"/>
              <w:autoSpaceDN w:val="0"/>
              <w:adjustRightInd w:val="0"/>
              <w:spacing w:after="0" w:line="240" w:lineRule="auto"/>
              <w:jc w:val="both"/>
              <w:rPr>
                <w:rFonts w:ascii="Calibri Light" w:hAnsi="Calibri Light" w:cs="Calibri Light"/>
                <w:b/>
                <w:bCs/>
                <w:color w:val="000000"/>
                <w:sz w:val="10"/>
                <w:szCs w:val="18"/>
              </w:rPr>
            </w:pPr>
          </w:p>
          <w:p w14:paraId="173CD4C0" w14:textId="77777777" w:rsidR="0029647A" w:rsidRPr="005871D2" w:rsidRDefault="0029647A" w:rsidP="00130449">
            <w:pPr>
              <w:pStyle w:val="Sansinterligne"/>
              <w:jc w:val="both"/>
              <w:rPr>
                <w:rFonts w:asciiTheme="majorHAnsi" w:hAnsiTheme="majorHAnsi" w:cstheme="majorHAnsi"/>
                <w:b/>
                <w:bCs/>
                <w:color w:val="000000"/>
                <w:sz w:val="18"/>
                <w:szCs w:val="18"/>
              </w:rPr>
            </w:pPr>
            <w:r>
              <w:rPr>
                <w:rFonts w:asciiTheme="majorHAnsi" w:hAnsiTheme="majorHAnsi" w:cstheme="majorHAnsi"/>
                <w:b/>
                <w:color w:val="00616E"/>
                <w:sz w:val="18"/>
              </w:rPr>
              <w:t xml:space="preserve">About GL events - </w:t>
            </w:r>
            <w:hyperlink r:id="rId22">
              <w:r>
                <w:rPr>
                  <w:rStyle w:val="Lienhypertexte"/>
                  <w:rFonts w:asciiTheme="majorHAnsi" w:hAnsiTheme="majorHAnsi" w:cstheme="majorHAnsi"/>
                  <w:sz w:val="18"/>
                </w:rPr>
                <w:t>www.gl-events.com</w:t>
              </w:r>
            </w:hyperlink>
          </w:p>
          <w:p w14:paraId="13BA9069" w14:textId="273923EF" w:rsidR="0029647A" w:rsidRPr="005871D2" w:rsidRDefault="0029647A" w:rsidP="00130449">
            <w:pPr>
              <w:pStyle w:val="Sansinterligne"/>
              <w:jc w:val="both"/>
              <w:rPr>
                <w:rFonts w:asciiTheme="majorHAnsi" w:hAnsiTheme="majorHAnsi" w:cstheme="majorHAnsi"/>
                <w:sz w:val="18"/>
                <w:szCs w:val="18"/>
              </w:rPr>
            </w:pPr>
            <w:r>
              <w:rPr>
                <w:rFonts w:asciiTheme="majorHAnsi" w:hAnsiTheme="majorHAnsi" w:cstheme="majorHAnsi"/>
                <w:sz w:val="18"/>
              </w:rPr>
              <w:t>The GL events Group has been a major worldwide player in event activities for over forty years. With more than 4,500 employees, the Group is now present on all five continents with 90 locations. Generating 1,040.5 M€ in revenue in 2018, GL events is organized into three main divisions:</w:t>
            </w:r>
          </w:p>
          <w:p w14:paraId="7742CAA2" w14:textId="249C5F64" w:rsidR="0029647A" w:rsidRPr="005871D2" w:rsidRDefault="0029647A" w:rsidP="00130449">
            <w:pPr>
              <w:pStyle w:val="Sansinterligne"/>
              <w:numPr>
                <w:ilvl w:val="0"/>
                <w:numId w:val="25"/>
              </w:numPr>
              <w:jc w:val="both"/>
              <w:rPr>
                <w:rFonts w:asciiTheme="majorHAnsi" w:eastAsia="Times New Roman" w:hAnsiTheme="majorHAnsi" w:cstheme="majorHAnsi"/>
                <w:sz w:val="18"/>
                <w:szCs w:val="18"/>
              </w:rPr>
            </w:pPr>
            <w:r>
              <w:rPr>
                <w:rFonts w:asciiTheme="majorHAnsi" w:hAnsiTheme="majorHAnsi" w:cstheme="majorHAnsi"/>
                <w:sz w:val="18"/>
              </w:rPr>
              <w:t>Live: includes activities for corporate, institutional, and sports events, from advisory services and design to event organization.</w:t>
            </w:r>
          </w:p>
          <w:p w14:paraId="5864956C" w14:textId="0906E5B7" w:rsidR="0029647A" w:rsidRPr="005871D2" w:rsidRDefault="0029647A" w:rsidP="00130449">
            <w:pPr>
              <w:pStyle w:val="Sansinterligne"/>
              <w:numPr>
                <w:ilvl w:val="0"/>
                <w:numId w:val="25"/>
              </w:numPr>
              <w:jc w:val="both"/>
              <w:rPr>
                <w:rFonts w:asciiTheme="majorHAnsi" w:eastAsia="Times New Roman" w:hAnsiTheme="majorHAnsi" w:cstheme="majorHAnsi"/>
                <w:sz w:val="18"/>
                <w:szCs w:val="18"/>
              </w:rPr>
            </w:pPr>
            <w:r>
              <w:rPr>
                <w:rFonts w:asciiTheme="majorHAnsi" w:hAnsiTheme="majorHAnsi" w:cstheme="majorHAnsi"/>
                <w:sz w:val="18"/>
              </w:rPr>
              <w:t>Exhibitions: drives and manages over 200 private conventions in many sectors, from agri-food to textiles and beyond.</w:t>
            </w:r>
          </w:p>
          <w:p w14:paraId="25C531B8" w14:textId="113C0942" w:rsidR="0029647A" w:rsidRPr="005871D2" w:rsidRDefault="0029647A" w:rsidP="00130449">
            <w:pPr>
              <w:pStyle w:val="Sansinterligne"/>
              <w:numPr>
                <w:ilvl w:val="0"/>
                <w:numId w:val="25"/>
              </w:numPr>
              <w:jc w:val="both"/>
              <w:rPr>
                <w:rFonts w:asciiTheme="majorHAnsi" w:eastAsia="Times New Roman" w:hAnsiTheme="majorHAnsi" w:cstheme="majorHAnsi"/>
                <w:sz w:val="18"/>
                <w:szCs w:val="18"/>
              </w:rPr>
            </w:pPr>
            <w:r>
              <w:rPr>
                <w:rFonts w:asciiTheme="majorHAnsi" w:hAnsiTheme="majorHAnsi" w:cstheme="majorHAnsi"/>
                <w:sz w:val="18"/>
              </w:rPr>
              <w:t xml:space="preserve">Venues: manages a network of 50 event </w:t>
            </w:r>
            <w:r w:rsidR="002B47EF">
              <w:rPr>
                <w:rFonts w:asciiTheme="majorHAnsi" w:hAnsiTheme="majorHAnsi" w:cstheme="majorHAnsi"/>
                <w:sz w:val="18"/>
              </w:rPr>
              <w:t>venues</w:t>
            </w:r>
            <w:r>
              <w:rPr>
                <w:rFonts w:asciiTheme="majorHAnsi" w:hAnsiTheme="majorHAnsi" w:cstheme="majorHAnsi"/>
                <w:sz w:val="18"/>
              </w:rPr>
              <w:t xml:space="preserve"> (conference centers, exhibition parks, performance halls, and multi-purpose venues) located in major cities in France and abroad.</w:t>
            </w:r>
          </w:p>
          <w:p w14:paraId="4AA4E4EC" w14:textId="64427347" w:rsidR="00D30203" w:rsidRPr="0029647A" w:rsidRDefault="00D30203" w:rsidP="0029647A">
            <w:pPr>
              <w:autoSpaceDE w:val="0"/>
              <w:autoSpaceDN w:val="0"/>
              <w:adjustRightInd w:val="0"/>
              <w:spacing w:after="0" w:line="240" w:lineRule="auto"/>
              <w:jc w:val="both"/>
              <w:rPr>
                <w:rFonts w:ascii="Calibri Light" w:hAnsi="Calibri Light" w:cs="Calibri Light"/>
              </w:rPr>
            </w:pPr>
          </w:p>
        </w:tc>
      </w:tr>
      <w:tr w:rsidR="00D30203" w:rsidRPr="009E193E" w14:paraId="4C920AD8" w14:textId="77777777" w:rsidTr="00B936CD">
        <w:trPr>
          <w:jc w:val="center"/>
        </w:trPr>
        <w:tc>
          <w:tcPr>
            <w:tcW w:w="10212" w:type="dxa"/>
            <w:gridSpan w:val="3"/>
            <w:shd w:val="clear" w:color="auto" w:fill="auto"/>
          </w:tcPr>
          <w:p w14:paraId="18FD682B" w14:textId="77777777" w:rsidR="00D30203" w:rsidRPr="009E193E" w:rsidRDefault="00D30203" w:rsidP="009E193E">
            <w:pPr>
              <w:autoSpaceDE w:val="0"/>
              <w:autoSpaceDN w:val="0"/>
              <w:adjustRightInd w:val="0"/>
              <w:spacing w:after="0" w:line="240" w:lineRule="auto"/>
              <w:jc w:val="both"/>
              <w:rPr>
                <w:rFonts w:ascii="Calibri Light" w:hAnsi="Calibri Light" w:cs="Calibri Light"/>
                <w:b/>
                <w:bCs/>
                <w:color w:val="00616E"/>
                <w:sz w:val="12"/>
                <w:szCs w:val="18"/>
              </w:rPr>
            </w:pPr>
          </w:p>
        </w:tc>
      </w:tr>
    </w:tbl>
    <w:p w14:paraId="6086A8C5" w14:textId="6D61DA5D" w:rsidR="00661714" w:rsidRDefault="0024073D" w:rsidP="000A45E1">
      <w:pPr>
        <w:jc w:val="center"/>
      </w:pPr>
      <w:r>
        <w:rPr>
          <w:rFonts w:ascii="Calibri Light" w:hAnsi="Calibri Light" w:cs="Calibri Light"/>
          <w:noProof/>
        </w:rPr>
        <w:drawing>
          <wp:inline distT="0" distB="0" distL="0" distR="0" wp14:anchorId="7BC3EAEE" wp14:editId="2618ACAA">
            <wp:extent cx="427990" cy="438785"/>
            <wp:effectExtent l="0" t="0" r="0" b="0"/>
            <wp:docPr id="15" name="Image 15" descr="Z:\CLIENTS\LYON FOR EVENTS\Document client\Logo\logo-gl-events-e1427398096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Z:\CLIENTS\LYON FOR EVENTS\Document client\Logo\logo-gl-events-e1427398096892.png"/>
                    <pic:cNvPicPr>
                      <a:picLocks noChangeAspect="1" noChangeArrowheads="1"/>
                    </pic:cNvPicPr>
                  </pic:nvPicPr>
                  <pic:blipFill>
                    <a:blip r:embed="rId9" cstate="print">
                      <a:extLst>
                        <a:ext uri="{28A0092B-C50C-407E-A947-70E740481C1C}">
                          <a14:useLocalDpi xmlns:a14="http://schemas.microsoft.com/office/drawing/2010/main" val="0"/>
                        </a:ext>
                      </a:extLst>
                    </a:blip>
                    <a:srcRect t="13889"/>
                    <a:stretch>
                      <a:fillRect/>
                    </a:stretch>
                  </pic:blipFill>
                  <pic:spPr bwMode="auto">
                    <a:xfrm>
                      <a:off x="0" y="0"/>
                      <a:ext cx="427990" cy="438785"/>
                    </a:xfrm>
                    <a:prstGeom prst="rect">
                      <a:avLst/>
                    </a:prstGeom>
                    <a:noFill/>
                    <a:ln>
                      <a:noFill/>
                    </a:ln>
                  </pic:spPr>
                </pic:pic>
              </a:graphicData>
            </a:graphic>
          </wp:inline>
        </w:drawing>
      </w:r>
      <w:r>
        <w:t xml:space="preserve">                                                                                                                     </w:t>
      </w:r>
      <w:r>
        <w:rPr>
          <w:noProof/>
        </w:rPr>
        <w:drawing>
          <wp:inline distT="0" distB="0" distL="0" distR="0" wp14:anchorId="51AFD7AF" wp14:editId="0B8F0A8F">
            <wp:extent cx="2018030" cy="451485"/>
            <wp:effectExtent l="0" t="0" r="1270" b="5715"/>
            <wp:docPr id="7" name="Image 7" descr="Macintosh HD:Users:Laurence:ownCloud:DOSSIERS:LYON:DOSSIERS EN COURS:Laurence:EUREXPO:Logo:CCILM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ence:ownCloud:DOSSIERS:LYON:DOSSIERS EN COURS:Laurence:EUREXPO:Logo:CCILM quadri.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8030" cy="451485"/>
                    </a:xfrm>
                    <a:prstGeom prst="rect">
                      <a:avLst/>
                    </a:prstGeom>
                    <a:noFill/>
                    <a:ln>
                      <a:noFill/>
                    </a:ln>
                    <a:extLst>
                      <a:ext uri="{FAA26D3D-D897-4be2-8F04-BA451C77F1D7}">
                        <ma14:placeholderFlag xmlns:w="http://schemas.openxmlformats.org/wordprocessingml/2006/main" xmlns:o="urn:schemas-microsoft-com:office:office" xmlns:v="urn:schemas-microsoft-com:vml" xmlns:w10="urn:schemas-microsoft-com:office:word" xmlns="" xmlns:mo="http://schemas.microsoft.com/office/mac/office/2008/main" xmlns:mv="urn:schemas-microsoft-com:mac:vml" xmlns:ma14="http://schemas.microsoft.com/office/mac/drawingml/2011/main"/>
                      </a:ext>
                    </a:extLst>
                  </pic:spPr>
                </pic:pic>
              </a:graphicData>
            </a:graphic>
          </wp:inline>
        </w:drawing>
      </w:r>
    </w:p>
    <w:sectPr w:rsidR="00661714" w:rsidSect="00D30203">
      <w:pgSz w:w="11906" w:h="16838"/>
      <w:pgMar w:top="709" w:right="1418" w:bottom="85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9BA27" w14:textId="77777777" w:rsidR="00D64D11" w:rsidRDefault="00D64D11" w:rsidP="00336C32">
      <w:pPr>
        <w:spacing w:after="0" w:line="240" w:lineRule="auto"/>
      </w:pPr>
      <w:r>
        <w:separator/>
      </w:r>
    </w:p>
  </w:endnote>
  <w:endnote w:type="continuationSeparator" w:id="0">
    <w:p w14:paraId="59E472FD" w14:textId="77777777" w:rsidR="00D64D11" w:rsidRDefault="00D64D11" w:rsidP="00336C32">
      <w:pPr>
        <w:spacing w:after="0" w:line="240" w:lineRule="auto"/>
      </w:pPr>
      <w:r>
        <w:continuationSeparator/>
      </w:r>
    </w:p>
  </w:endnote>
  <w:endnote w:type="continuationNotice" w:id="1">
    <w:p w14:paraId="506A2C8B" w14:textId="77777777" w:rsidR="00D64D11" w:rsidRDefault="00D64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95B0" w14:textId="77777777" w:rsidR="00D64D11" w:rsidRDefault="00D64D11" w:rsidP="00336C32">
      <w:pPr>
        <w:spacing w:after="0" w:line="240" w:lineRule="auto"/>
      </w:pPr>
      <w:r>
        <w:separator/>
      </w:r>
    </w:p>
  </w:footnote>
  <w:footnote w:type="continuationSeparator" w:id="0">
    <w:p w14:paraId="03102FA2" w14:textId="77777777" w:rsidR="00D64D11" w:rsidRDefault="00D64D11" w:rsidP="00336C32">
      <w:pPr>
        <w:spacing w:after="0" w:line="240" w:lineRule="auto"/>
      </w:pPr>
      <w:r>
        <w:continuationSeparator/>
      </w:r>
    </w:p>
  </w:footnote>
  <w:footnote w:type="continuationNotice" w:id="1">
    <w:p w14:paraId="5E79B34B" w14:textId="77777777" w:rsidR="00D64D11" w:rsidRDefault="00D64D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C45"/>
    <w:multiLevelType w:val="hybridMultilevel"/>
    <w:tmpl w:val="E962F3F4"/>
    <w:lvl w:ilvl="0" w:tplc="A42499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277"/>
    <w:multiLevelType w:val="hybridMultilevel"/>
    <w:tmpl w:val="BCEC3EE6"/>
    <w:lvl w:ilvl="0" w:tplc="58AC40DA">
      <w:start w:val="1"/>
      <w:numFmt w:val="bullet"/>
      <w:lvlText w:val="•"/>
      <w:lvlJc w:val="left"/>
      <w:pPr>
        <w:tabs>
          <w:tab w:val="num" w:pos="720"/>
        </w:tabs>
        <w:ind w:left="720" w:hanging="360"/>
      </w:pPr>
      <w:rPr>
        <w:rFonts w:ascii="Arial" w:hAnsi="Arial" w:hint="default"/>
      </w:rPr>
    </w:lvl>
    <w:lvl w:ilvl="1" w:tplc="3E8E3694">
      <w:start w:val="77"/>
      <w:numFmt w:val="bullet"/>
      <w:lvlText w:val="–"/>
      <w:lvlJc w:val="left"/>
      <w:pPr>
        <w:tabs>
          <w:tab w:val="num" w:pos="1440"/>
        </w:tabs>
        <w:ind w:left="1440" w:hanging="360"/>
      </w:pPr>
      <w:rPr>
        <w:rFonts w:ascii="Arial" w:hAnsi="Arial" w:hint="default"/>
      </w:rPr>
    </w:lvl>
    <w:lvl w:ilvl="2" w:tplc="31169F0A">
      <w:start w:val="77"/>
      <w:numFmt w:val="bullet"/>
      <w:lvlText w:val="•"/>
      <w:lvlJc w:val="left"/>
      <w:pPr>
        <w:tabs>
          <w:tab w:val="num" w:pos="2160"/>
        </w:tabs>
        <w:ind w:left="2160" w:hanging="360"/>
      </w:pPr>
      <w:rPr>
        <w:rFonts w:ascii="Arial" w:hAnsi="Arial" w:hint="default"/>
      </w:rPr>
    </w:lvl>
    <w:lvl w:ilvl="3" w:tplc="AA8060C4" w:tentative="1">
      <w:start w:val="1"/>
      <w:numFmt w:val="bullet"/>
      <w:lvlText w:val="•"/>
      <w:lvlJc w:val="left"/>
      <w:pPr>
        <w:tabs>
          <w:tab w:val="num" w:pos="2880"/>
        </w:tabs>
        <w:ind w:left="2880" w:hanging="360"/>
      </w:pPr>
      <w:rPr>
        <w:rFonts w:ascii="Arial" w:hAnsi="Arial" w:hint="default"/>
      </w:rPr>
    </w:lvl>
    <w:lvl w:ilvl="4" w:tplc="D27210D4" w:tentative="1">
      <w:start w:val="1"/>
      <w:numFmt w:val="bullet"/>
      <w:lvlText w:val="•"/>
      <w:lvlJc w:val="left"/>
      <w:pPr>
        <w:tabs>
          <w:tab w:val="num" w:pos="3600"/>
        </w:tabs>
        <w:ind w:left="3600" w:hanging="360"/>
      </w:pPr>
      <w:rPr>
        <w:rFonts w:ascii="Arial" w:hAnsi="Arial" w:hint="default"/>
      </w:rPr>
    </w:lvl>
    <w:lvl w:ilvl="5" w:tplc="0666B08A" w:tentative="1">
      <w:start w:val="1"/>
      <w:numFmt w:val="bullet"/>
      <w:lvlText w:val="•"/>
      <w:lvlJc w:val="left"/>
      <w:pPr>
        <w:tabs>
          <w:tab w:val="num" w:pos="4320"/>
        </w:tabs>
        <w:ind w:left="4320" w:hanging="360"/>
      </w:pPr>
      <w:rPr>
        <w:rFonts w:ascii="Arial" w:hAnsi="Arial" w:hint="default"/>
      </w:rPr>
    </w:lvl>
    <w:lvl w:ilvl="6" w:tplc="55702A9E" w:tentative="1">
      <w:start w:val="1"/>
      <w:numFmt w:val="bullet"/>
      <w:lvlText w:val="•"/>
      <w:lvlJc w:val="left"/>
      <w:pPr>
        <w:tabs>
          <w:tab w:val="num" w:pos="5040"/>
        </w:tabs>
        <w:ind w:left="5040" w:hanging="360"/>
      </w:pPr>
      <w:rPr>
        <w:rFonts w:ascii="Arial" w:hAnsi="Arial" w:hint="default"/>
      </w:rPr>
    </w:lvl>
    <w:lvl w:ilvl="7" w:tplc="395CE13C" w:tentative="1">
      <w:start w:val="1"/>
      <w:numFmt w:val="bullet"/>
      <w:lvlText w:val="•"/>
      <w:lvlJc w:val="left"/>
      <w:pPr>
        <w:tabs>
          <w:tab w:val="num" w:pos="5760"/>
        </w:tabs>
        <w:ind w:left="5760" w:hanging="360"/>
      </w:pPr>
      <w:rPr>
        <w:rFonts w:ascii="Arial" w:hAnsi="Arial" w:hint="default"/>
      </w:rPr>
    </w:lvl>
    <w:lvl w:ilvl="8" w:tplc="774CF8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E2884"/>
    <w:multiLevelType w:val="hybridMultilevel"/>
    <w:tmpl w:val="ECA8867A"/>
    <w:lvl w:ilvl="0" w:tplc="2BF00ADC">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0D260B"/>
    <w:multiLevelType w:val="hybridMultilevel"/>
    <w:tmpl w:val="5F1E96B2"/>
    <w:lvl w:ilvl="0" w:tplc="413621DC">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424A4"/>
    <w:multiLevelType w:val="hybridMultilevel"/>
    <w:tmpl w:val="7B8AF376"/>
    <w:lvl w:ilvl="0" w:tplc="6C9E68E4">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13198"/>
    <w:multiLevelType w:val="hybridMultilevel"/>
    <w:tmpl w:val="A6244AB2"/>
    <w:lvl w:ilvl="0" w:tplc="716EF710">
      <w:start w:val="55"/>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3D377F"/>
    <w:multiLevelType w:val="hybridMultilevel"/>
    <w:tmpl w:val="C206050A"/>
    <w:lvl w:ilvl="0" w:tplc="E38E446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63038BC"/>
    <w:multiLevelType w:val="hybridMultilevel"/>
    <w:tmpl w:val="6F6056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A0823CA"/>
    <w:multiLevelType w:val="hybridMultilevel"/>
    <w:tmpl w:val="6EC4D2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6B2DEA"/>
    <w:multiLevelType w:val="hybridMultilevel"/>
    <w:tmpl w:val="57CEF012"/>
    <w:lvl w:ilvl="0" w:tplc="5504F328">
      <w:start w:val="1"/>
      <w:numFmt w:val="bullet"/>
      <w:lvlText w:val=""/>
      <w:lvlJc w:val="left"/>
      <w:pPr>
        <w:ind w:left="720" w:hanging="360"/>
      </w:pPr>
      <w:rPr>
        <w:rFonts w:ascii="Wingdings" w:hAnsi="Wingdings" w:hint="default"/>
        <w:b/>
        <w:i w:val="0"/>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931867"/>
    <w:multiLevelType w:val="hybridMultilevel"/>
    <w:tmpl w:val="A3A44A3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6241946"/>
    <w:multiLevelType w:val="hybridMultilevel"/>
    <w:tmpl w:val="6F128B96"/>
    <w:lvl w:ilvl="0" w:tplc="58AC40DA">
      <w:start w:val="1"/>
      <w:numFmt w:val="bullet"/>
      <w:lvlText w:val="•"/>
      <w:lvlJc w:val="left"/>
      <w:pPr>
        <w:ind w:left="718" w:hanging="360"/>
      </w:pPr>
      <w:rPr>
        <w:rFonts w:ascii="Arial" w:hAnsi="Aria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2" w15:restartNumberingAfterBreak="0">
    <w:nsid w:val="477D3ADD"/>
    <w:multiLevelType w:val="hybridMultilevel"/>
    <w:tmpl w:val="CBECAA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5457A9"/>
    <w:multiLevelType w:val="hybridMultilevel"/>
    <w:tmpl w:val="7302A9CC"/>
    <w:lvl w:ilvl="0" w:tplc="5504F328">
      <w:start w:val="1"/>
      <w:numFmt w:val="bullet"/>
      <w:lvlText w:val=""/>
      <w:lvlJc w:val="left"/>
      <w:pPr>
        <w:ind w:left="720" w:hanging="360"/>
      </w:pPr>
      <w:rPr>
        <w:rFonts w:ascii="Wingdings" w:hAnsi="Wingdings" w:hint="default"/>
        <w:b/>
        <w:i w:val="0"/>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423DFB"/>
    <w:multiLevelType w:val="hybridMultilevel"/>
    <w:tmpl w:val="1BAE4A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FA2049"/>
    <w:multiLevelType w:val="hybridMultilevel"/>
    <w:tmpl w:val="979CE4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372BDF"/>
    <w:multiLevelType w:val="hybridMultilevel"/>
    <w:tmpl w:val="6A1870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E23F5B"/>
    <w:multiLevelType w:val="hybridMultilevel"/>
    <w:tmpl w:val="7AB889C0"/>
    <w:lvl w:ilvl="0" w:tplc="74041D8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E21FB0"/>
    <w:multiLevelType w:val="hybridMultilevel"/>
    <w:tmpl w:val="20329EF2"/>
    <w:lvl w:ilvl="0" w:tplc="5504F328">
      <w:start w:val="1"/>
      <w:numFmt w:val="bullet"/>
      <w:lvlText w:val=""/>
      <w:lvlJc w:val="left"/>
      <w:pPr>
        <w:ind w:left="720" w:hanging="360"/>
      </w:pPr>
      <w:rPr>
        <w:rFonts w:ascii="Wingdings" w:hAnsi="Wingdings" w:hint="default"/>
        <w:b/>
        <w:i w:val="0"/>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690951"/>
    <w:multiLevelType w:val="hybridMultilevel"/>
    <w:tmpl w:val="1DDCEC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DE2515"/>
    <w:multiLevelType w:val="hybridMultilevel"/>
    <w:tmpl w:val="85301D76"/>
    <w:lvl w:ilvl="0" w:tplc="413621DC">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A87529"/>
    <w:multiLevelType w:val="hybridMultilevel"/>
    <w:tmpl w:val="289C707C"/>
    <w:lvl w:ilvl="0" w:tplc="F72A8BD0">
      <w:numFmt w:val="bullet"/>
      <w:lvlText w:val="-"/>
      <w:lvlJc w:val="left"/>
      <w:pPr>
        <w:tabs>
          <w:tab w:val="num" w:pos="680"/>
        </w:tabs>
        <w:ind w:left="737" w:hanging="227"/>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color w:val="FF0000"/>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61748"/>
    <w:multiLevelType w:val="hybridMultilevel"/>
    <w:tmpl w:val="9260F54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8A93F16"/>
    <w:multiLevelType w:val="hybridMultilevel"/>
    <w:tmpl w:val="727EDE4C"/>
    <w:lvl w:ilvl="0" w:tplc="244E2204">
      <w:start w:val="2018"/>
      <w:numFmt w:val="bullet"/>
      <w:lvlText w:val="-"/>
      <w:lvlJc w:val="left"/>
      <w:pPr>
        <w:ind w:left="720" w:hanging="360"/>
      </w:pPr>
      <w:rPr>
        <w:rFonts w:ascii="Calibri Light" w:eastAsia="Calibri" w:hAnsi="Calibri Light" w:cs="Calibri Light"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485C96"/>
    <w:multiLevelType w:val="hybridMultilevel"/>
    <w:tmpl w:val="823843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024362"/>
    <w:multiLevelType w:val="hybridMultilevel"/>
    <w:tmpl w:val="7FDECBF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0"/>
  </w:num>
  <w:num w:numId="4">
    <w:abstractNumId w:val="21"/>
  </w:num>
  <w:num w:numId="5">
    <w:abstractNumId w:val="13"/>
  </w:num>
  <w:num w:numId="6">
    <w:abstractNumId w:val="1"/>
  </w:num>
  <w:num w:numId="7">
    <w:abstractNumId w:val="11"/>
  </w:num>
  <w:num w:numId="8">
    <w:abstractNumId w:val="6"/>
  </w:num>
  <w:num w:numId="9">
    <w:abstractNumId w:val="18"/>
  </w:num>
  <w:num w:numId="10">
    <w:abstractNumId w:val="9"/>
  </w:num>
  <w:num w:numId="11">
    <w:abstractNumId w:val="2"/>
  </w:num>
  <w:num w:numId="12">
    <w:abstractNumId w:val="5"/>
  </w:num>
  <w:num w:numId="13">
    <w:abstractNumId w:val="8"/>
  </w:num>
  <w:num w:numId="14">
    <w:abstractNumId w:val="23"/>
  </w:num>
  <w:num w:numId="15">
    <w:abstractNumId w:val="16"/>
  </w:num>
  <w:num w:numId="16">
    <w:abstractNumId w:val="14"/>
  </w:num>
  <w:num w:numId="17">
    <w:abstractNumId w:val="19"/>
  </w:num>
  <w:num w:numId="18">
    <w:abstractNumId w:val="24"/>
  </w:num>
  <w:num w:numId="19">
    <w:abstractNumId w:val="17"/>
  </w:num>
  <w:num w:numId="20">
    <w:abstractNumId w:val="12"/>
  </w:num>
  <w:num w:numId="21">
    <w:abstractNumId w:val="15"/>
  </w:num>
  <w:num w:numId="22">
    <w:abstractNumId w:val="22"/>
  </w:num>
  <w:num w:numId="23">
    <w:abstractNumId w:val="10"/>
  </w:num>
  <w:num w:numId="24">
    <w:abstractNumId w:val="25"/>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78"/>
    <w:rsid w:val="00000347"/>
    <w:rsid w:val="00000648"/>
    <w:rsid w:val="00001517"/>
    <w:rsid w:val="00001DD2"/>
    <w:rsid w:val="00003848"/>
    <w:rsid w:val="00013485"/>
    <w:rsid w:val="000147BD"/>
    <w:rsid w:val="000150A2"/>
    <w:rsid w:val="00024F97"/>
    <w:rsid w:val="00031217"/>
    <w:rsid w:val="00043A84"/>
    <w:rsid w:val="000510F1"/>
    <w:rsid w:val="00061581"/>
    <w:rsid w:val="00061F47"/>
    <w:rsid w:val="00070EDC"/>
    <w:rsid w:val="00087465"/>
    <w:rsid w:val="00095A8D"/>
    <w:rsid w:val="000A1BDF"/>
    <w:rsid w:val="000A253B"/>
    <w:rsid w:val="000A45E1"/>
    <w:rsid w:val="000A6083"/>
    <w:rsid w:val="000B05E1"/>
    <w:rsid w:val="000D1904"/>
    <w:rsid w:val="000E1AC6"/>
    <w:rsid w:val="000E3C51"/>
    <w:rsid w:val="000E5FDC"/>
    <w:rsid w:val="000F1E48"/>
    <w:rsid w:val="000F2A99"/>
    <w:rsid w:val="00103D6B"/>
    <w:rsid w:val="00106E3F"/>
    <w:rsid w:val="00107971"/>
    <w:rsid w:val="00110565"/>
    <w:rsid w:val="00111306"/>
    <w:rsid w:val="001208D0"/>
    <w:rsid w:val="00122AF1"/>
    <w:rsid w:val="00123173"/>
    <w:rsid w:val="001244C6"/>
    <w:rsid w:val="00124EA9"/>
    <w:rsid w:val="00130449"/>
    <w:rsid w:val="001315B9"/>
    <w:rsid w:val="00131D2B"/>
    <w:rsid w:val="0014046A"/>
    <w:rsid w:val="00141595"/>
    <w:rsid w:val="001456C6"/>
    <w:rsid w:val="00150D7D"/>
    <w:rsid w:val="00152701"/>
    <w:rsid w:val="00152A31"/>
    <w:rsid w:val="0015596F"/>
    <w:rsid w:val="00156505"/>
    <w:rsid w:val="00164E7A"/>
    <w:rsid w:val="001706D6"/>
    <w:rsid w:val="00177E59"/>
    <w:rsid w:val="00183B44"/>
    <w:rsid w:val="001874AE"/>
    <w:rsid w:val="001A1561"/>
    <w:rsid w:val="001B02D5"/>
    <w:rsid w:val="001B4BAA"/>
    <w:rsid w:val="001C2BEC"/>
    <w:rsid w:val="001C2BF6"/>
    <w:rsid w:val="001C3040"/>
    <w:rsid w:val="001D16F3"/>
    <w:rsid w:val="001D19C6"/>
    <w:rsid w:val="001F34A0"/>
    <w:rsid w:val="001F3B34"/>
    <w:rsid w:val="001F6BB4"/>
    <w:rsid w:val="002136E4"/>
    <w:rsid w:val="00213D3F"/>
    <w:rsid w:val="00224BFF"/>
    <w:rsid w:val="0023131F"/>
    <w:rsid w:val="0023162E"/>
    <w:rsid w:val="0024073D"/>
    <w:rsid w:val="00250B0A"/>
    <w:rsid w:val="00260B3F"/>
    <w:rsid w:val="0026159E"/>
    <w:rsid w:val="00261DEE"/>
    <w:rsid w:val="0027249F"/>
    <w:rsid w:val="00273111"/>
    <w:rsid w:val="00280805"/>
    <w:rsid w:val="00283B01"/>
    <w:rsid w:val="00290BD3"/>
    <w:rsid w:val="00291DA3"/>
    <w:rsid w:val="00295E6C"/>
    <w:rsid w:val="0029647A"/>
    <w:rsid w:val="00297B28"/>
    <w:rsid w:val="002A2DE0"/>
    <w:rsid w:val="002B47EF"/>
    <w:rsid w:val="002B672D"/>
    <w:rsid w:val="002C3661"/>
    <w:rsid w:val="002C567F"/>
    <w:rsid w:val="002C5E75"/>
    <w:rsid w:val="002D1F2A"/>
    <w:rsid w:val="002D474D"/>
    <w:rsid w:val="002E3CE2"/>
    <w:rsid w:val="002E6DE0"/>
    <w:rsid w:val="002F0E71"/>
    <w:rsid w:val="002F6F7B"/>
    <w:rsid w:val="00305011"/>
    <w:rsid w:val="00305B1A"/>
    <w:rsid w:val="00310B1C"/>
    <w:rsid w:val="003169DE"/>
    <w:rsid w:val="00331C32"/>
    <w:rsid w:val="003350CA"/>
    <w:rsid w:val="00335F90"/>
    <w:rsid w:val="00336C32"/>
    <w:rsid w:val="00340A9E"/>
    <w:rsid w:val="003410BC"/>
    <w:rsid w:val="0034287D"/>
    <w:rsid w:val="00342C6E"/>
    <w:rsid w:val="00347BC4"/>
    <w:rsid w:val="003507D4"/>
    <w:rsid w:val="003559B4"/>
    <w:rsid w:val="00357EA6"/>
    <w:rsid w:val="0036120F"/>
    <w:rsid w:val="003702E4"/>
    <w:rsid w:val="0037128E"/>
    <w:rsid w:val="00386FBE"/>
    <w:rsid w:val="00394991"/>
    <w:rsid w:val="003A40F5"/>
    <w:rsid w:val="003A657B"/>
    <w:rsid w:val="003B1B86"/>
    <w:rsid w:val="003B5A39"/>
    <w:rsid w:val="003B5DAC"/>
    <w:rsid w:val="003B6CB7"/>
    <w:rsid w:val="003C246F"/>
    <w:rsid w:val="003C26C3"/>
    <w:rsid w:val="003C4102"/>
    <w:rsid w:val="003D6BD0"/>
    <w:rsid w:val="003E2797"/>
    <w:rsid w:val="003F0698"/>
    <w:rsid w:val="003F67DE"/>
    <w:rsid w:val="004065B5"/>
    <w:rsid w:val="00413066"/>
    <w:rsid w:val="00414B00"/>
    <w:rsid w:val="00417A11"/>
    <w:rsid w:val="00423F31"/>
    <w:rsid w:val="00432A1C"/>
    <w:rsid w:val="004540F9"/>
    <w:rsid w:val="00454842"/>
    <w:rsid w:val="00454B4C"/>
    <w:rsid w:val="00457427"/>
    <w:rsid w:val="00464BC3"/>
    <w:rsid w:val="004724E5"/>
    <w:rsid w:val="00472A5E"/>
    <w:rsid w:val="00475E7B"/>
    <w:rsid w:val="004835BC"/>
    <w:rsid w:val="00484239"/>
    <w:rsid w:val="00490C9B"/>
    <w:rsid w:val="004B0DC9"/>
    <w:rsid w:val="004B4ACE"/>
    <w:rsid w:val="004D1448"/>
    <w:rsid w:val="004D170D"/>
    <w:rsid w:val="004D3719"/>
    <w:rsid w:val="004F1D0D"/>
    <w:rsid w:val="004F6EB8"/>
    <w:rsid w:val="00500035"/>
    <w:rsid w:val="00500A12"/>
    <w:rsid w:val="00503D8E"/>
    <w:rsid w:val="00506E0C"/>
    <w:rsid w:val="00507473"/>
    <w:rsid w:val="00516C1B"/>
    <w:rsid w:val="00516FF6"/>
    <w:rsid w:val="0052069D"/>
    <w:rsid w:val="0052113F"/>
    <w:rsid w:val="00533449"/>
    <w:rsid w:val="0053406F"/>
    <w:rsid w:val="00534EED"/>
    <w:rsid w:val="00542FD3"/>
    <w:rsid w:val="00546578"/>
    <w:rsid w:val="00563C6F"/>
    <w:rsid w:val="00581CB8"/>
    <w:rsid w:val="005871D2"/>
    <w:rsid w:val="005901EA"/>
    <w:rsid w:val="00591C03"/>
    <w:rsid w:val="005A0296"/>
    <w:rsid w:val="005A1C43"/>
    <w:rsid w:val="005B4B52"/>
    <w:rsid w:val="005C6D5E"/>
    <w:rsid w:val="005D29DF"/>
    <w:rsid w:val="005D3192"/>
    <w:rsid w:val="005D5CAF"/>
    <w:rsid w:val="005E1459"/>
    <w:rsid w:val="005E2493"/>
    <w:rsid w:val="005E49A8"/>
    <w:rsid w:val="005F1515"/>
    <w:rsid w:val="005F2182"/>
    <w:rsid w:val="005F5F42"/>
    <w:rsid w:val="00600AFD"/>
    <w:rsid w:val="00605795"/>
    <w:rsid w:val="0060615C"/>
    <w:rsid w:val="0060770F"/>
    <w:rsid w:val="006078A8"/>
    <w:rsid w:val="00612C43"/>
    <w:rsid w:val="00612DBA"/>
    <w:rsid w:val="00613A16"/>
    <w:rsid w:val="00616CB0"/>
    <w:rsid w:val="00623DCD"/>
    <w:rsid w:val="00625D39"/>
    <w:rsid w:val="006321A3"/>
    <w:rsid w:val="00642435"/>
    <w:rsid w:val="00642A7A"/>
    <w:rsid w:val="006430AE"/>
    <w:rsid w:val="006432EA"/>
    <w:rsid w:val="00643D7C"/>
    <w:rsid w:val="00646465"/>
    <w:rsid w:val="006558DD"/>
    <w:rsid w:val="00661714"/>
    <w:rsid w:val="006625B7"/>
    <w:rsid w:val="00664011"/>
    <w:rsid w:val="006A1810"/>
    <w:rsid w:val="006A7AA6"/>
    <w:rsid w:val="006C13CD"/>
    <w:rsid w:val="006E07F7"/>
    <w:rsid w:val="006F3930"/>
    <w:rsid w:val="0070178E"/>
    <w:rsid w:val="00701A30"/>
    <w:rsid w:val="00720B97"/>
    <w:rsid w:val="0072528C"/>
    <w:rsid w:val="007252B2"/>
    <w:rsid w:val="00735DB3"/>
    <w:rsid w:val="007376F6"/>
    <w:rsid w:val="00744C99"/>
    <w:rsid w:val="0074544F"/>
    <w:rsid w:val="00751848"/>
    <w:rsid w:val="0075362D"/>
    <w:rsid w:val="0076087F"/>
    <w:rsid w:val="00764279"/>
    <w:rsid w:val="00764FC2"/>
    <w:rsid w:val="00792BDF"/>
    <w:rsid w:val="00797DEF"/>
    <w:rsid w:val="007A2FFC"/>
    <w:rsid w:val="007C31F7"/>
    <w:rsid w:val="007C4BD5"/>
    <w:rsid w:val="007D2B33"/>
    <w:rsid w:val="007D3E0C"/>
    <w:rsid w:val="007D5C4C"/>
    <w:rsid w:val="007D6D31"/>
    <w:rsid w:val="007E0CC9"/>
    <w:rsid w:val="007E3ED5"/>
    <w:rsid w:val="007E680B"/>
    <w:rsid w:val="007F52BD"/>
    <w:rsid w:val="007F5D50"/>
    <w:rsid w:val="00811182"/>
    <w:rsid w:val="00817487"/>
    <w:rsid w:val="00817B6F"/>
    <w:rsid w:val="008211DB"/>
    <w:rsid w:val="00832A75"/>
    <w:rsid w:val="00834D93"/>
    <w:rsid w:val="0084243E"/>
    <w:rsid w:val="0085447A"/>
    <w:rsid w:val="008547F6"/>
    <w:rsid w:val="008559F4"/>
    <w:rsid w:val="008654FE"/>
    <w:rsid w:val="008662B1"/>
    <w:rsid w:val="00866D30"/>
    <w:rsid w:val="00872682"/>
    <w:rsid w:val="00873E74"/>
    <w:rsid w:val="00874328"/>
    <w:rsid w:val="0087432D"/>
    <w:rsid w:val="00877167"/>
    <w:rsid w:val="0088771B"/>
    <w:rsid w:val="00887734"/>
    <w:rsid w:val="00893BF9"/>
    <w:rsid w:val="00897DCB"/>
    <w:rsid w:val="008A6414"/>
    <w:rsid w:val="008A7EDD"/>
    <w:rsid w:val="008B5385"/>
    <w:rsid w:val="008C0F95"/>
    <w:rsid w:val="008C1252"/>
    <w:rsid w:val="008C1FE3"/>
    <w:rsid w:val="008D07AD"/>
    <w:rsid w:val="008D07D4"/>
    <w:rsid w:val="008D6595"/>
    <w:rsid w:val="008E6DA7"/>
    <w:rsid w:val="008F046F"/>
    <w:rsid w:val="008F1DD9"/>
    <w:rsid w:val="008F3FD8"/>
    <w:rsid w:val="00900233"/>
    <w:rsid w:val="00902298"/>
    <w:rsid w:val="00904374"/>
    <w:rsid w:val="00911124"/>
    <w:rsid w:val="00911F39"/>
    <w:rsid w:val="009243F0"/>
    <w:rsid w:val="0092523C"/>
    <w:rsid w:val="00933218"/>
    <w:rsid w:val="009360F2"/>
    <w:rsid w:val="00942E5E"/>
    <w:rsid w:val="009562B4"/>
    <w:rsid w:val="00957FC0"/>
    <w:rsid w:val="0096129C"/>
    <w:rsid w:val="00961EF8"/>
    <w:rsid w:val="00962922"/>
    <w:rsid w:val="0096369A"/>
    <w:rsid w:val="0096688A"/>
    <w:rsid w:val="00966E64"/>
    <w:rsid w:val="00966E89"/>
    <w:rsid w:val="00976393"/>
    <w:rsid w:val="0097641A"/>
    <w:rsid w:val="00983F26"/>
    <w:rsid w:val="00984392"/>
    <w:rsid w:val="0099725F"/>
    <w:rsid w:val="009A00A8"/>
    <w:rsid w:val="009A560C"/>
    <w:rsid w:val="009C024D"/>
    <w:rsid w:val="009C7DC6"/>
    <w:rsid w:val="009D1714"/>
    <w:rsid w:val="009D389B"/>
    <w:rsid w:val="009D394C"/>
    <w:rsid w:val="009D583C"/>
    <w:rsid w:val="009D7C28"/>
    <w:rsid w:val="009E193E"/>
    <w:rsid w:val="009E5CC5"/>
    <w:rsid w:val="009F1F64"/>
    <w:rsid w:val="009F4A9D"/>
    <w:rsid w:val="00A00492"/>
    <w:rsid w:val="00A0349E"/>
    <w:rsid w:val="00A06446"/>
    <w:rsid w:val="00A12B44"/>
    <w:rsid w:val="00A14DA5"/>
    <w:rsid w:val="00A154ED"/>
    <w:rsid w:val="00A15873"/>
    <w:rsid w:val="00A20471"/>
    <w:rsid w:val="00A25800"/>
    <w:rsid w:val="00A26209"/>
    <w:rsid w:val="00A531D3"/>
    <w:rsid w:val="00A545E7"/>
    <w:rsid w:val="00A5568E"/>
    <w:rsid w:val="00A56395"/>
    <w:rsid w:val="00A64054"/>
    <w:rsid w:val="00A65666"/>
    <w:rsid w:val="00A67007"/>
    <w:rsid w:val="00A70B32"/>
    <w:rsid w:val="00A741B9"/>
    <w:rsid w:val="00A8099D"/>
    <w:rsid w:val="00A82ABF"/>
    <w:rsid w:val="00A8558E"/>
    <w:rsid w:val="00A9759A"/>
    <w:rsid w:val="00AA002B"/>
    <w:rsid w:val="00AA1335"/>
    <w:rsid w:val="00AA13E6"/>
    <w:rsid w:val="00AA3896"/>
    <w:rsid w:val="00AA539E"/>
    <w:rsid w:val="00AA5E2E"/>
    <w:rsid w:val="00AA69E0"/>
    <w:rsid w:val="00AB4FDE"/>
    <w:rsid w:val="00AC1F3A"/>
    <w:rsid w:val="00AC6C59"/>
    <w:rsid w:val="00AC7246"/>
    <w:rsid w:val="00AD17C6"/>
    <w:rsid w:val="00AD655E"/>
    <w:rsid w:val="00AE087D"/>
    <w:rsid w:val="00AE4927"/>
    <w:rsid w:val="00AF5032"/>
    <w:rsid w:val="00AF6619"/>
    <w:rsid w:val="00AF6A91"/>
    <w:rsid w:val="00AF73BC"/>
    <w:rsid w:val="00B03822"/>
    <w:rsid w:val="00B14F93"/>
    <w:rsid w:val="00B17C04"/>
    <w:rsid w:val="00B21897"/>
    <w:rsid w:val="00B21F13"/>
    <w:rsid w:val="00B27A7E"/>
    <w:rsid w:val="00B350EC"/>
    <w:rsid w:val="00B3684C"/>
    <w:rsid w:val="00B40DF8"/>
    <w:rsid w:val="00B40FA0"/>
    <w:rsid w:val="00B4670C"/>
    <w:rsid w:val="00B549AF"/>
    <w:rsid w:val="00B606AD"/>
    <w:rsid w:val="00B632C3"/>
    <w:rsid w:val="00B6642F"/>
    <w:rsid w:val="00B67B52"/>
    <w:rsid w:val="00B84293"/>
    <w:rsid w:val="00B84B65"/>
    <w:rsid w:val="00B936CD"/>
    <w:rsid w:val="00B9403D"/>
    <w:rsid w:val="00B95374"/>
    <w:rsid w:val="00B97B4D"/>
    <w:rsid w:val="00BB595B"/>
    <w:rsid w:val="00BC1CAA"/>
    <w:rsid w:val="00BC2109"/>
    <w:rsid w:val="00BC6680"/>
    <w:rsid w:val="00BD0791"/>
    <w:rsid w:val="00BD1FFA"/>
    <w:rsid w:val="00BD22B2"/>
    <w:rsid w:val="00BD269E"/>
    <w:rsid w:val="00BD4F34"/>
    <w:rsid w:val="00BD62DB"/>
    <w:rsid w:val="00BE197D"/>
    <w:rsid w:val="00BE1BB4"/>
    <w:rsid w:val="00BE5E97"/>
    <w:rsid w:val="00BF4762"/>
    <w:rsid w:val="00BF487F"/>
    <w:rsid w:val="00BF6AE3"/>
    <w:rsid w:val="00BF6CD1"/>
    <w:rsid w:val="00C01031"/>
    <w:rsid w:val="00C0482C"/>
    <w:rsid w:val="00C17F8F"/>
    <w:rsid w:val="00C25467"/>
    <w:rsid w:val="00C35B5C"/>
    <w:rsid w:val="00C40023"/>
    <w:rsid w:val="00C40442"/>
    <w:rsid w:val="00C446A1"/>
    <w:rsid w:val="00C45712"/>
    <w:rsid w:val="00C523C6"/>
    <w:rsid w:val="00C57DE8"/>
    <w:rsid w:val="00C74D23"/>
    <w:rsid w:val="00C76BF3"/>
    <w:rsid w:val="00C77299"/>
    <w:rsid w:val="00C867C8"/>
    <w:rsid w:val="00CA33A8"/>
    <w:rsid w:val="00CB2D41"/>
    <w:rsid w:val="00CB759C"/>
    <w:rsid w:val="00CC260A"/>
    <w:rsid w:val="00CC7975"/>
    <w:rsid w:val="00CD0731"/>
    <w:rsid w:val="00CE6D82"/>
    <w:rsid w:val="00CF58FC"/>
    <w:rsid w:val="00D00C14"/>
    <w:rsid w:val="00D03333"/>
    <w:rsid w:val="00D03CDF"/>
    <w:rsid w:val="00D05C3A"/>
    <w:rsid w:val="00D07B98"/>
    <w:rsid w:val="00D22F7B"/>
    <w:rsid w:val="00D30203"/>
    <w:rsid w:val="00D30520"/>
    <w:rsid w:val="00D41612"/>
    <w:rsid w:val="00D4334C"/>
    <w:rsid w:val="00D547A6"/>
    <w:rsid w:val="00D57E52"/>
    <w:rsid w:val="00D60793"/>
    <w:rsid w:val="00D64D11"/>
    <w:rsid w:val="00D71C73"/>
    <w:rsid w:val="00D84E6B"/>
    <w:rsid w:val="00D90001"/>
    <w:rsid w:val="00D936E3"/>
    <w:rsid w:val="00D93D70"/>
    <w:rsid w:val="00D96A4D"/>
    <w:rsid w:val="00DD4F43"/>
    <w:rsid w:val="00DD561F"/>
    <w:rsid w:val="00DD56ED"/>
    <w:rsid w:val="00DD6121"/>
    <w:rsid w:val="00DE6332"/>
    <w:rsid w:val="00DF0C83"/>
    <w:rsid w:val="00DF12B3"/>
    <w:rsid w:val="00DF6F4E"/>
    <w:rsid w:val="00E07DF2"/>
    <w:rsid w:val="00E21DC3"/>
    <w:rsid w:val="00E3072D"/>
    <w:rsid w:val="00E31AF0"/>
    <w:rsid w:val="00E325EC"/>
    <w:rsid w:val="00E34321"/>
    <w:rsid w:val="00E45645"/>
    <w:rsid w:val="00E5210A"/>
    <w:rsid w:val="00E54CE2"/>
    <w:rsid w:val="00E57D37"/>
    <w:rsid w:val="00E601EC"/>
    <w:rsid w:val="00E631EE"/>
    <w:rsid w:val="00E77E34"/>
    <w:rsid w:val="00EB08FF"/>
    <w:rsid w:val="00EB1290"/>
    <w:rsid w:val="00EB1C97"/>
    <w:rsid w:val="00EB1ED2"/>
    <w:rsid w:val="00EB44C4"/>
    <w:rsid w:val="00EB485C"/>
    <w:rsid w:val="00EC71C5"/>
    <w:rsid w:val="00EE0D12"/>
    <w:rsid w:val="00EE0D49"/>
    <w:rsid w:val="00EE2D2E"/>
    <w:rsid w:val="00EF04D7"/>
    <w:rsid w:val="00EF26C8"/>
    <w:rsid w:val="00EF44A8"/>
    <w:rsid w:val="00F02440"/>
    <w:rsid w:val="00F050A6"/>
    <w:rsid w:val="00F07E6E"/>
    <w:rsid w:val="00F13621"/>
    <w:rsid w:val="00F13E74"/>
    <w:rsid w:val="00F21468"/>
    <w:rsid w:val="00F22AE6"/>
    <w:rsid w:val="00F302E4"/>
    <w:rsid w:val="00F325D6"/>
    <w:rsid w:val="00F35C75"/>
    <w:rsid w:val="00F4143C"/>
    <w:rsid w:val="00F433E3"/>
    <w:rsid w:val="00F629DF"/>
    <w:rsid w:val="00F64F76"/>
    <w:rsid w:val="00F6712F"/>
    <w:rsid w:val="00F71BA5"/>
    <w:rsid w:val="00F77BEA"/>
    <w:rsid w:val="00F80E98"/>
    <w:rsid w:val="00F83CB4"/>
    <w:rsid w:val="00FB0685"/>
    <w:rsid w:val="00FC1BE7"/>
    <w:rsid w:val="00FC6628"/>
    <w:rsid w:val="00FC6C8B"/>
    <w:rsid w:val="00FD6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E841"/>
  <w15:docId w15:val="{CC4229A2-9272-4DD9-A2C3-05B9928E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E6332"/>
    <w:pPr>
      <w:ind w:left="720"/>
      <w:contextualSpacing/>
    </w:pPr>
  </w:style>
  <w:style w:type="character" w:styleId="Lienhypertexte">
    <w:name w:val="Hyperlink"/>
    <w:uiPriority w:val="99"/>
    <w:unhideWhenUsed/>
    <w:rsid w:val="00DE6332"/>
    <w:rPr>
      <w:color w:val="0563C1"/>
      <w:u w:val="single"/>
    </w:rPr>
  </w:style>
  <w:style w:type="paragraph" w:customStyle="1" w:styleId="Default">
    <w:name w:val="Default"/>
    <w:rsid w:val="00432A1C"/>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AD17C6"/>
    <w:pPr>
      <w:spacing w:before="100" w:beforeAutospacing="1" w:after="100" w:afterAutospacing="1" w:line="240" w:lineRule="auto"/>
    </w:pPr>
    <w:rPr>
      <w:rFonts w:ascii="Times New Roman" w:eastAsia="Times New Roman" w:hAnsi="Times New Roman"/>
      <w:sz w:val="24"/>
      <w:szCs w:val="24"/>
    </w:rPr>
  </w:style>
  <w:style w:type="paragraph" w:styleId="En-tte">
    <w:name w:val="header"/>
    <w:basedOn w:val="Normal"/>
    <w:link w:val="En-tteCar"/>
    <w:uiPriority w:val="99"/>
    <w:unhideWhenUsed/>
    <w:rsid w:val="00336C32"/>
    <w:pPr>
      <w:tabs>
        <w:tab w:val="center" w:pos="4536"/>
        <w:tab w:val="right" w:pos="9072"/>
      </w:tabs>
      <w:spacing w:after="0" w:line="240" w:lineRule="auto"/>
    </w:pPr>
  </w:style>
  <w:style w:type="character" w:customStyle="1" w:styleId="En-tteCar">
    <w:name w:val="En-tête Car"/>
    <w:basedOn w:val="Policepardfaut"/>
    <w:link w:val="En-tte"/>
    <w:uiPriority w:val="99"/>
    <w:rsid w:val="00336C32"/>
  </w:style>
  <w:style w:type="paragraph" w:styleId="Pieddepage">
    <w:name w:val="footer"/>
    <w:basedOn w:val="Normal"/>
    <w:link w:val="PieddepageCar"/>
    <w:uiPriority w:val="99"/>
    <w:unhideWhenUsed/>
    <w:rsid w:val="00336C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C32"/>
  </w:style>
  <w:style w:type="paragraph" w:styleId="Textedebulles">
    <w:name w:val="Balloon Text"/>
    <w:basedOn w:val="Normal"/>
    <w:link w:val="TextedebullesCar"/>
    <w:uiPriority w:val="99"/>
    <w:semiHidden/>
    <w:unhideWhenUsed/>
    <w:rsid w:val="002B672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2B672D"/>
    <w:rPr>
      <w:rFonts w:ascii="Segoe UI" w:hAnsi="Segoe UI" w:cs="Segoe UI"/>
      <w:sz w:val="18"/>
      <w:szCs w:val="18"/>
    </w:rPr>
  </w:style>
  <w:style w:type="character" w:styleId="Marquedecommentaire">
    <w:name w:val="annotation reference"/>
    <w:uiPriority w:val="99"/>
    <w:semiHidden/>
    <w:unhideWhenUsed/>
    <w:rsid w:val="002B672D"/>
    <w:rPr>
      <w:sz w:val="16"/>
      <w:szCs w:val="16"/>
    </w:rPr>
  </w:style>
  <w:style w:type="paragraph" w:styleId="Commentaire">
    <w:name w:val="annotation text"/>
    <w:basedOn w:val="Normal"/>
    <w:link w:val="CommentaireCar"/>
    <w:uiPriority w:val="99"/>
    <w:semiHidden/>
    <w:unhideWhenUsed/>
    <w:rsid w:val="002B672D"/>
    <w:pPr>
      <w:spacing w:line="240" w:lineRule="auto"/>
    </w:pPr>
    <w:rPr>
      <w:sz w:val="20"/>
      <w:szCs w:val="20"/>
    </w:rPr>
  </w:style>
  <w:style w:type="character" w:customStyle="1" w:styleId="CommentaireCar">
    <w:name w:val="Commentaire Car"/>
    <w:link w:val="Commentaire"/>
    <w:uiPriority w:val="99"/>
    <w:semiHidden/>
    <w:rsid w:val="002B672D"/>
    <w:rPr>
      <w:sz w:val="20"/>
      <w:szCs w:val="20"/>
    </w:rPr>
  </w:style>
  <w:style w:type="paragraph" w:styleId="Objetducommentaire">
    <w:name w:val="annotation subject"/>
    <w:basedOn w:val="Commentaire"/>
    <w:next w:val="Commentaire"/>
    <w:link w:val="ObjetducommentaireCar"/>
    <w:uiPriority w:val="99"/>
    <w:semiHidden/>
    <w:unhideWhenUsed/>
    <w:rsid w:val="002B672D"/>
    <w:rPr>
      <w:b/>
      <w:bCs/>
    </w:rPr>
  </w:style>
  <w:style w:type="character" w:customStyle="1" w:styleId="ObjetducommentaireCar">
    <w:name w:val="Objet du commentaire Car"/>
    <w:link w:val="Objetducommentaire"/>
    <w:uiPriority w:val="99"/>
    <w:semiHidden/>
    <w:rsid w:val="002B672D"/>
    <w:rPr>
      <w:b/>
      <w:bCs/>
      <w:sz w:val="20"/>
      <w:szCs w:val="20"/>
    </w:rPr>
  </w:style>
  <w:style w:type="character" w:styleId="lev">
    <w:name w:val="Strong"/>
    <w:uiPriority w:val="22"/>
    <w:qFormat/>
    <w:rsid w:val="003410BC"/>
    <w:rPr>
      <w:b/>
      <w:bCs/>
    </w:rPr>
  </w:style>
  <w:style w:type="character" w:styleId="Mentionnonrsolue">
    <w:name w:val="Unresolved Mention"/>
    <w:uiPriority w:val="99"/>
    <w:semiHidden/>
    <w:unhideWhenUsed/>
    <w:rsid w:val="006558DD"/>
    <w:rPr>
      <w:color w:val="605E5C"/>
      <w:shd w:val="clear" w:color="auto" w:fill="E1DFDD"/>
    </w:rPr>
  </w:style>
  <w:style w:type="character" w:styleId="Lienhypertextesuivivisit">
    <w:name w:val="FollowedHyperlink"/>
    <w:uiPriority w:val="99"/>
    <w:semiHidden/>
    <w:unhideWhenUsed/>
    <w:rsid w:val="006558DD"/>
    <w:rPr>
      <w:color w:val="954F72"/>
      <w:u w:val="single"/>
    </w:rPr>
  </w:style>
  <w:style w:type="paragraph" w:styleId="Rvision">
    <w:name w:val="Revision"/>
    <w:hidden/>
    <w:uiPriority w:val="99"/>
    <w:semiHidden/>
    <w:rsid w:val="00516FF6"/>
    <w:rPr>
      <w:sz w:val="22"/>
      <w:szCs w:val="22"/>
    </w:rPr>
  </w:style>
  <w:style w:type="paragraph" w:styleId="Sansinterligne">
    <w:name w:val="No Spacing"/>
    <w:uiPriority w:val="1"/>
    <w:qFormat/>
    <w:rsid w:val="0029647A"/>
    <w:rPr>
      <w:sz w:val="22"/>
      <w:szCs w:val="22"/>
    </w:rPr>
  </w:style>
  <w:style w:type="character" w:styleId="Accentuation">
    <w:name w:val="Emphasis"/>
    <w:basedOn w:val="Policepardfaut"/>
    <w:uiPriority w:val="20"/>
    <w:qFormat/>
    <w:rsid w:val="00507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0450">
      <w:bodyDiv w:val="1"/>
      <w:marLeft w:val="0"/>
      <w:marRight w:val="0"/>
      <w:marTop w:val="0"/>
      <w:marBottom w:val="0"/>
      <w:divBdr>
        <w:top w:val="none" w:sz="0" w:space="0" w:color="auto"/>
        <w:left w:val="none" w:sz="0" w:space="0" w:color="auto"/>
        <w:bottom w:val="none" w:sz="0" w:space="0" w:color="auto"/>
        <w:right w:val="none" w:sz="0" w:space="0" w:color="auto"/>
      </w:divBdr>
    </w:div>
    <w:div w:id="471795737">
      <w:bodyDiv w:val="1"/>
      <w:marLeft w:val="0"/>
      <w:marRight w:val="0"/>
      <w:marTop w:val="0"/>
      <w:marBottom w:val="0"/>
      <w:divBdr>
        <w:top w:val="none" w:sz="0" w:space="0" w:color="auto"/>
        <w:left w:val="none" w:sz="0" w:space="0" w:color="auto"/>
        <w:bottom w:val="none" w:sz="0" w:space="0" w:color="auto"/>
        <w:right w:val="none" w:sz="0" w:space="0" w:color="auto"/>
      </w:divBdr>
    </w:div>
    <w:div w:id="510995710">
      <w:bodyDiv w:val="1"/>
      <w:marLeft w:val="0"/>
      <w:marRight w:val="0"/>
      <w:marTop w:val="0"/>
      <w:marBottom w:val="0"/>
      <w:divBdr>
        <w:top w:val="none" w:sz="0" w:space="0" w:color="auto"/>
        <w:left w:val="none" w:sz="0" w:space="0" w:color="auto"/>
        <w:bottom w:val="none" w:sz="0" w:space="0" w:color="auto"/>
        <w:right w:val="none" w:sz="0" w:space="0" w:color="auto"/>
      </w:divBdr>
    </w:div>
    <w:div w:id="735082406">
      <w:bodyDiv w:val="1"/>
      <w:marLeft w:val="0"/>
      <w:marRight w:val="0"/>
      <w:marTop w:val="0"/>
      <w:marBottom w:val="0"/>
      <w:divBdr>
        <w:top w:val="none" w:sz="0" w:space="0" w:color="auto"/>
        <w:left w:val="none" w:sz="0" w:space="0" w:color="auto"/>
        <w:bottom w:val="none" w:sz="0" w:space="0" w:color="auto"/>
        <w:right w:val="none" w:sz="0" w:space="0" w:color="auto"/>
      </w:divBdr>
    </w:div>
    <w:div w:id="880823186">
      <w:bodyDiv w:val="1"/>
      <w:marLeft w:val="0"/>
      <w:marRight w:val="0"/>
      <w:marTop w:val="0"/>
      <w:marBottom w:val="0"/>
      <w:divBdr>
        <w:top w:val="none" w:sz="0" w:space="0" w:color="auto"/>
        <w:left w:val="none" w:sz="0" w:space="0" w:color="auto"/>
        <w:bottom w:val="none" w:sz="0" w:space="0" w:color="auto"/>
        <w:right w:val="none" w:sz="0" w:space="0" w:color="auto"/>
      </w:divBdr>
    </w:div>
    <w:div w:id="962035622">
      <w:bodyDiv w:val="1"/>
      <w:marLeft w:val="0"/>
      <w:marRight w:val="0"/>
      <w:marTop w:val="0"/>
      <w:marBottom w:val="0"/>
      <w:divBdr>
        <w:top w:val="none" w:sz="0" w:space="0" w:color="auto"/>
        <w:left w:val="none" w:sz="0" w:space="0" w:color="auto"/>
        <w:bottom w:val="none" w:sz="0" w:space="0" w:color="auto"/>
        <w:right w:val="none" w:sz="0" w:space="0" w:color="auto"/>
      </w:divBdr>
    </w:div>
    <w:div w:id="1163156212">
      <w:bodyDiv w:val="1"/>
      <w:marLeft w:val="0"/>
      <w:marRight w:val="0"/>
      <w:marTop w:val="0"/>
      <w:marBottom w:val="0"/>
      <w:divBdr>
        <w:top w:val="none" w:sz="0" w:space="0" w:color="auto"/>
        <w:left w:val="none" w:sz="0" w:space="0" w:color="auto"/>
        <w:bottom w:val="none" w:sz="0" w:space="0" w:color="auto"/>
        <w:right w:val="none" w:sz="0" w:space="0" w:color="auto"/>
      </w:divBdr>
    </w:div>
    <w:div w:id="1203980997">
      <w:bodyDiv w:val="1"/>
      <w:marLeft w:val="0"/>
      <w:marRight w:val="0"/>
      <w:marTop w:val="0"/>
      <w:marBottom w:val="0"/>
      <w:divBdr>
        <w:top w:val="none" w:sz="0" w:space="0" w:color="auto"/>
        <w:left w:val="none" w:sz="0" w:space="0" w:color="auto"/>
        <w:bottom w:val="none" w:sz="0" w:space="0" w:color="auto"/>
        <w:right w:val="none" w:sz="0" w:space="0" w:color="auto"/>
      </w:divBdr>
    </w:div>
    <w:div w:id="1256523420">
      <w:bodyDiv w:val="1"/>
      <w:marLeft w:val="0"/>
      <w:marRight w:val="0"/>
      <w:marTop w:val="0"/>
      <w:marBottom w:val="0"/>
      <w:divBdr>
        <w:top w:val="none" w:sz="0" w:space="0" w:color="auto"/>
        <w:left w:val="none" w:sz="0" w:space="0" w:color="auto"/>
        <w:bottom w:val="none" w:sz="0" w:space="0" w:color="auto"/>
        <w:right w:val="none" w:sz="0" w:space="0" w:color="auto"/>
      </w:divBdr>
    </w:div>
    <w:div w:id="1273319451">
      <w:bodyDiv w:val="1"/>
      <w:marLeft w:val="0"/>
      <w:marRight w:val="0"/>
      <w:marTop w:val="0"/>
      <w:marBottom w:val="0"/>
      <w:divBdr>
        <w:top w:val="none" w:sz="0" w:space="0" w:color="auto"/>
        <w:left w:val="none" w:sz="0" w:space="0" w:color="auto"/>
        <w:bottom w:val="none" w:sz="0" w:space="0" w:color="auto"/>
        <w:right w:val="none" w:sz="0" w:space="0" w:color="auto"/>
      </w:divBdr>
    </w:div>
    <w:div w:id="1442216693">
      <w:bodyDiv w:val="1"/>
      <w:marLeft w:val="0"/>
      <w:marRight w:val="0"/>
      <w:marTop w:val="0"/>
      <w:marBottom w:val="0"/>
      <w:divBdr>
        <w:top w:val="none" w:sz="0" w:space="0" w:color="auto"/>
        <w:left w:val="none" w:sz="0" w:space="0" w:color="auto"/>
        <w:bottom w:val="none" w:sz="0" w:space="0" w:color="auto"/>
        <w:right w:val="none" w:sz="0" w:space="0" w:color="auto"/>
      </w:divBdr>
    </w:div>
    <w:div w:id="1795172065">
      <w:bodyDiv w:val="1"/>
      <w:marLeft w:val="0"/>
      <w:marRight w:val="0"/>
      <w:marTop w:val="0"/>
      <w:marBottom w:val="0"/>
      <w:divBdr>
        <w:top w:val="none" w:sz="0" w:space="0" w:color="auto"/>
        <w:left w:val="none" w:sz="0" w:space="0" w:color="auto"/>
        <w:bottom w:val="none" w:sz="0" w:space="0" w:color="auto"/>
        <w:right w:val="none" w:sz="0" w:space="0" w:color="auto"/>
      </w:divBdr>
      <w:divsChild>
        <w:div w:id="58334545">
          <w:marLeft w:val="1800"/>
          <w:marRight w:val="0"/>
          <w:marTop w:val="86"/>
          <w:marBottom w:val="0"/>
          <w:divBdr>
            <w:top w:val="none" w:sz="0" w:space="0" w:color="auto"/>
            <w:left w:val="none" w:sz="0" w:space="0" w:color="auto"/>
            <w:bottom w:val="none" w:sz="0" w:space="0" w:color="auto"/>
            <w:right w:val="none" w:sz="0" w:space="0" w:color="auto"/>
          </w:divBdr>
        </w:div>
        <w:div w:id="237132465">
          <w:marLeft w:val="547"/>
          <w:marRight w:val="0"/>
          <w:marTop w:val="115"/>
          <w:marBottom w:val="0"/>
          <w:divBdr>
            <w:top w:val="none" w:sz="0" w:space="0" w:color="auto"/>
            <w:left w:val="none" w:sz="0" w:space="0" w:color="auto"/>
            <w:bottom w:val="none" w:sz="0" w:space="0" w:color="auto"/>
            <w:right w:val="none" w:sz="0" w:space="0" w:color="auto"/>
          </w:divBdr>
        </w:div>
        <w:div w:id="900016416">
          <w:marLeft w:val="1800"/>
          <w:marRight w:val="0"/>
          <w:marTop w:val="86"/>
          <w:marBottom w:val="0"/>
          <w:divBdr>
            <w:top w:val="none" w:sz="0" w:space="0" w:color="auto"/>
            <w:left w:val="none" w:sz="0" w:space="0" w:color="auto"/>
            <w:bottom w:val="none" w:sz="0" w:space="0" w:color="auto"/>
            <w:right w:val="none" w:sz="0" w:space="0" w:color="auto"/>
          </w:divBdr>
        </w:div>
        <w:div w:id="942416949">
          <w:marLeft w:val="1166"/>
          <w:marRight w:val="0"/>
          <w:marTop w:val="106"/>
          <w:marBottom w:val="0"/>
          <w:divBdr>
            <w:top w:val="none" w:sz="0" w:space="0" w:color="auto"/>
            <w:left w:val="none" w:sz="0" w:space="0" w:color="auto"/>
            <w:bottom w:val="none" w:sz="0" w:space="0" w:color="auto"/>
            <w:right w:val="none" w:sz="0" w:space="0" w:color="auto"/>
          </w:divBdr>
        </w:div>
        <w:div w:id="1108088984">
          <w:marLeft w:val="547"/>
          <w:marRight w:val="0"/>
          <w:marTop w:val="115"/>
          <w:marBottom w:val="0"/>
          <w:divBdr>
            <w:top w:val="none" w:sz="0" w:space="0" w:color="auto"/>
            <w:left w:val="none" w:sz="0" w:space="0" w:color="auto"/>
            <w:bottom w:val="none" w:sz="0" w:space="0" w:color="auto"/>
            <w:right w:val="none" w:sz="0" w:space="0" w:color="auto"/>
          </w:divBdr>
        </w:div>
        <w:div w:id="1206140557">
          <w:marLeft w:val="1800"/>
          <w:marRight w:val="0"/>
          <w:marTop w:val="86"/>
          <w:marBottom w:val="0"/>
          <w:divBdr>
            <w:top w:val="none" w:sz="0" w:space="0" w:color="auto"/>
            <w:left w:val="none" w:sz="0" w:space="0" w:color="auto"/>
            <w:bottom w:val="none" w:sz="0" w:space="0" w:color="auto"/>
            <w:right w:val="none" w:sz="0" w:space="0" w:color="auto"/>
          </w:divBdr>
        </w:div>
        <w:div w:id="1248080462">
          <w:marLeft w:val="1800"/>
          <w:marRight w:val="0"/>
          <w:marTop w:val="86"/>
          <w:marBottom w:val="0"/>
          <w:divBdr>
            <w:top w:val="none" w:sz="0" w:space="0" w:color="auto"/>
            <w:left w:val="none" w:sz="0" w:space="0" w:color="auto"/>
            <w:bottom w:val="none" w:sz="0" w:space="0" w:color="auto"/>
            <w:right w:val="none" w:sz="0" w:space="0" w:color="auto"/>
          </w:divBdr>
        </w:div>
        <w:div w:id="1803503086">
          <w:marLeft w:val="1166"/>
          <w:marRight w:val="0"/>
          <w:marTop w:val="106"/>
          <w:marBottom w:val="0"/>
          <w:divBdr>
            <w:top w:val="none" w:sz="0" w:space="0" w:color="auto"/>
            <w:left w:val="none" w:sz="0" w:space="0" w:color="auto"/>
            <w:bottom w:val="none" w:sz="0" w:space="0" w:color="auto"/>
            <w:right w:val="none" w:sz="0" w:space="0" w:color="auto"/>
          </w:divBdr>
        </w:div>
        <w:div w:id="2078895676">
          <w:marLeft w:val="547"/>
          <w:marRight w:val="0"/>
          <w:marTop w:val="106"/>
          <w:marBottom w:val="0"/>
          <w:divBdr>
            <w:top w:val="none" w:sz="0" w:space="0" w:color="auto"/>
            <w:left w:val="none" w:sz="0" w:space="0" w:color="auto"/>
            <w:bottom w:val="none" w:sz="0" w:space="0" w:color="auto"/>
            <w:right w:val="none" w:sz="0" w:space="0" w:color="auto"/>
          </w:divBdr>
        </w:div>
      </w:divsChild>
    </w:div>
    <w:div w:id="2141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eca.eu/" TargetMode="External"/><Relationship Id="rId18" Type="http://schemas.openxmlformats.org/officeDocument/2006/relationships/hyperlink" Target="https://www.linkedin.com/company/lyon-for-events" TargetMode="External"/><Relationship Id="rId3" Type="http://schemas.openxmlformats.org/officeDocument/2006/relationships/styles" Target="styles.xml"/><Relationship Id="rId21" Type="http://schemas.openxmlformats.org/officeDocument/2006/relationships/hyperlink" Target="https://fr-fr.facebook.com/LyonForEvent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fboccard@amalthea.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twitter.com/lyonfor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yonforevent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hyperlink" Target="http://www.gl-events.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www.gl-event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FD96-E709-41FE-89F6-7A16D72A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6957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8205</CharactersWithSpaces>
  <SharedDoc>false</SharedDoc>
  <HLinks>
    <vt:vector size="24" baseType="variant">
      <vt:variant>
        <vt:i4>5505137</vt:i4>
      </vt:variant>
      <vt:variant>
        <vt:i4>9</vt:i4>
      </vt:variant>
      <vt:variant>
        <vt:i4>0</vt:i4>
      </vt:variant>
      <vt:variant>
        <vt:i4>5</vt:i4>
      </vt:variant>
      <vt:variant>
        <vt:lpwstr>mailto:fboccard@amalthea.fr</vt:lpwstr>
      </vt:variant>
      <vt:variant>
        <vt:lpwstr/>
      </vt:variant>
      <vt:variant>
        <vt:i4>5</vt:i4>
      </vt:variant>
      <vt:variant>
        <vt:i4>6</vt:i4>
      </vt:variant>
      <vt:variant>
        <vt:i4>0</vt:i4>
      </vt:variant>
      <vt:variant>
        <vt:i4>5</vt:i4>
      </vt:variant>
      <vt:variant>
        <vt:lpwstr>http://www.emeca.eu/</vt:lpwstr>
      </vt:variant>
      <vt:variant>
        <vt:lpwstr/>
      </vt:variant>
      <vt:variant>
        <vt:i4>2752562</vt:i4>
      </vt:variant>
      <vt:variant>
        <vt:i4>3</vt:i4>
      </vt:variant>
      <vt:variant>
        <vt:i4>0</vt:i4>
      </vt:variant>
      <vt:variant>
        <vt:i4>5</vt:i4>
      </vt:variant>
      <vt:variant>
        <vt:lpwstr>https://www.lyonforevents.com/</vt:lpwstr>
      </vt:variant>
      <vt:variant>
        <vt:lpwstr/>
      </vt:variant>
      <vt:variant>
        <vt:i4>262153</vt:i4>
      </vt:variant>
      <vt:variant>
        <vt:i4>0</vt:i4>
      </vt:variant>
      <vt:variant>
        <vt:i4>0</vt:i4>
      </vt:variant>
      <vt:variant>
        <vt:i4>5</vt:i4>
      </vt:variant>
      <vt:variant>
        <vt:lpwstr>http://www.gl-events.com/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Coradine GIANNITRAPANI</dc:creator>
  <cp:keywords/>
  <cp:lastModifiedBy>Julie VASSEUR</cp:lastModifiedBy>
  <cp:revision>2</cp:revision>
  <cp:lastPrinted>2019-05-23T13:44:00Z</cp:lastPrinted>
  <dcterms:created xsi:type="dcterms:W3CDTF">2019-06-07T09:32:00Z</dcterms:created>
  <dcterms:modified xsi:type="dcterms:W3CDTF">2019-06-07T09:32:00Z</dcterms:modified>
</cp:coreProperties>
</file>